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89" w:rsidRPr="0061793B" w:rsidRDefault="00635E89" w:rsidP="0039698B">
      <w:pPr>
        <w:jc w:val="both"/>
        <w:rPr>
          <w:rFonts w:cs="Calibri"/>
        </w:rPr>
      </w:pPr>
    </w:p>
    <w:p w:rsidR="00635E89" w:rsidRPr="0061793B" w:rsidRDefault="00635E89" w:rsidP="0039698B">
      <w:pPr>
        <w:pStyle w:val="BodyText"/>
        <w:spacing w:after="0" w:line="240" w:lineRule="auto"/>
        <w:ind w:firstLine="0"/>
        <w:jc w:val="center"/>
        <w:rPr>
          <w:rFonts w:ascii="Calibri" w:hAnsi="Calibri" w:cs="Calibri"/>
          <w:sz w:val="20"/>
        </w:rPr>
      </w:pPr>
      <w:r>
        <w:rPr>
          <w:rFonts w:ascii="Calibri" w:hAnsi="Calibri" w:cs="Calibri"/>
          <w:b/>
          <w:sz w:val="36"/>
          <w:szCs w:val="36"/>
        </w:rPr>
        <w:t>Conditioning of the full set of robustness tests for the South African hake resource to be used in OMP-2010 testing and constant catch projections</w:t>
      </w:r>
    </w:p>
    <w:p w:rsidR="00635E89" w:rsidRPr="0061793B" w:rsidRDefault="00635E89" w:rsidP="0039698B">
      <w:pPr>
        <w:pStyle w:val="BodyText"/>
        <w:spacing w:after="0" w:line="240" w:lineRule="auto"/>
        <w:ind w:firstLine="0"/>
        <w:jc w:val="center"/>
        <w:rPr>
          <w:rFonts w:ascii="Calibri" w:hAnsi="Calibri" w:cs="Calibri"/>
          <w:sz w:val="20"/>
        </w:rPr>
      </w:pPr>
    </w:p>
    <w:p w:rsidR="00635E89" w:rsidRPr="0061793B" w:rsidRDefault="00635E89" w:rsidP="0039698B">
      <w:pPr>
        <w:pStyle w:val="BodyText"/>
        <w:spacing w:after="0" w:line="240" w:lineRule="auto"/>
        <w:ind w:firstLine="0"/>
        <w:jc w:val="center"/>
        <w:rPr>
          <w:rFonts w:ascii="Calibri" w:hAnsi="Calibri" w:cs="Calibri"/>
          <w:sz w:val="20"/>
        </w:rPr>
      </w:pPr>
      <w:r w:rsidRPr="0061793B">
        <w:rPr>
          <w:rFonts w:ascii="Calibri" w:hAnsi="Calibri" w:cs="Calibri"/>
          <w:sz w:val="20"/>
        </w:rPr>
        <w:t>Rebecca A Rademeyer and Doug S Butterworth</w:t>
      </w:r>
    </w:p>
    <w:p w:rsidR="00635E89" w:rsidRPr="0061793B" w:rsidRDefault="00635E89" w:rsidP="0039698B">
      <w:pPr>
        <w:pStyle w:val="BodyText"/>
        <w:spacing w:after="0" w:line="240" w:lineRule="auto"/>
        <w:ind w:firstLine="0"/>
        <w:jc w:val="center"/>
        <w:rPr>
          <w:rFonts w:ascii="Calibri" w:hAnsi="Calibri" w:cs="Calibri"/>
          <w:sz w:val="20"/>
        </w:rPr>
      </w:pPr>
      <w:r w:rsidRPr="0061793B">
        <w:rPr>
          <w:rFonts w:ascii="Calibri" w:hAnsi="Calibri" w:cs="Calibri"/>
          <w:sz w:val="20"/>
        </w:rPr>
        <w:br/>
      </w:r>
      <w:r>
        <w:rPr>
          <w:rFonts w:ascii="Calibri" w:hAnsi="Calibri" w:cs="Calibri"/>
          <w:sz w:val="20"/>
        </w:rPr>
        <w:t>June</w:t>
      </w:r>
      <w:r w:rsidRPr="0061793B">
        <w:rPr>
          <w:rFonts w:ascii="Calibri" w:hAnsi="Calibri" w:cs="Calibri"/>
          <w:sz w:val="20"/>
        </w:rPr>
        <w:t xml:space="preserve"> 2010</w:t>
      </w:r>
    </w:p>
    <w:p w:rsidR="00635E89" w:rsidRPr="001E1F22" w:rsidRDefault="00635E89" w:rsidP="0039698B">
      <w:pPr>
        <w:pStyle w:val="BodyText"/>
        <w:spacing w:after="0" w:line="240" w:lineRule="auto"/>
        <w:ind w:firstLine="0"/>
        <w:rPr>
          <w:rFonts w:ascii="Calibri" w:hAnsi="Calibri" w:cs="Calibri"/>
          <w:bCs/>
          <w:sz w:val="20"/>
        </w:rPr>
      </w:pPr>
    </w:p>
    <w:p w:rsidR="00635E89" w:rsidRPr="001E1F22" w:rsidRDefault="00635E89" w:rsidP="0039698B">
      <w:pPr>
        <w:pStyle w:val="BodyText"/>
        <w:spacing w:after="0" w:line="240" w:lineRule="auto"/>
        <w:ind w:firstLine="0"/>
        <w:rPr>
          <w:rFonts w:ascii="Calibri" w:hAnsi="Calibri" w:cs="Calibri"/>
          <w:bCs/>
          <w:sz w:val="20"/>
        </w:rPr>
      </w:pPr>
    </w:p>
    <w:p w:rsidR="00635E89" w:rsidRPr="001E1F22" w:rsidRDefault="00635E89" w:rsidP="0039698B">
      <w:pPr>
        <w:pStyle w:val="BodyText"/>
        <w:spacing w:after="0" w:line="240" w:lineRule="auto"/>
        <w:ind w:firstLine="0"/>
        <w:rPr>
          <w:rFonts w:ascii="Calibri" w:hAnsi="Calibri" w:cs="Calibri"/>
          <w:b/>
          <w:bCs/>
          <w:sz w:val="20"/>
        </w:rPr>
      </w:pPr>
      <w:r w:rsidRPr="001E1F22">
        <w:rPr>
          <w:rFonts w:ascii="Calibri" w:hAnsi="Calibri" w:cs="Calibri"/>
          <w:b/>
          <w:bCs/>
          <w:sz w:val="20"/>
        </w:rPr>
        <w:t>INTRODUCTION</w:t>
      </w:r>
    </w:p>
    <w:p w:rsidR="00635E89" w:rsidRPr="001E1F22" w:rsidRDefault="00635E89" w:rsidP="0039698B">
      <w:pPr>
        <w:pStyle w:val="BodyText"/>
        <w:spacing w:after="0" w:line="240" w:lineRule="auto"/>
        <w:ind w:firstLine="0"/>
        <w:rPr>
          <w:rFonts w:ascii="Calibri" w:hAnsi="Calibri" w:cs="Calibri"/>
          <w:bCs/>
          <w:sz w:val="20"/>
        </w:rPr>
      </w:pPr>
      <w:r w:rsidRPr="001E1F22">
        <w:rPr>
          <w:rFonts w:ascii="Calibri" w:hAnsi="Calibri" w:cs="Calibri"/>
          <w:bCs/>
          <w:sz w:val="20"/>
        </w:rPr>
        <w:t>Results for conditioning of the full set of robustness/sensitivity tests for the current hake OMP revision process are given, and projections carried out under a constant catch strategy.</w:t>
      </w:r>
    </w:p>
    <w:p w:rsidR="00635E89" w:rsidRPr="001E1F22" w:rsidRDefault="00635E89" w:rsidP="0039698B">
      <w:pPr>
        <w:pStyle w:val="BodyText"/>
        <w:spacing w:after="0" w:line="240" w:lineRule="auto"/>
        <w:ind w:firstLine="0"/>
        <w:rPr>
          <w:rFonts w:ascii="Calibri" w:hAnsi="Calibri" w:cs="Calibri"/>
          <w:bCs/>
          <w:sz w:val="20"/>
        </w:rPr>
      </w:pPr>
      <w:r w:rsidRPr="001E1F22">
        <w:rPr>
          <w:rFonts w:ascii="Calibri" w:hAnsi="Calibri" w:cs="Calibri"/>
          <w:bCs/>
          <w:sz w:val="20"/>
        </w:rPr>
        <w:t>Although the final one or two CMPs will be checked on the complete suite of robustness tests, only a selected subset of robustness tests will be used to test the CMPs routinely. The intention is therefore to reduce the number of robustness tests that will be run routinely on the CMPs by selecting the ones which appear under constant catch projections to present the greatest challenges from a resource conservation perspective</w:t>
      </w:r>
      <w:r w:rsidRPr="002C5045">
        <w:rPr>
          <w:rFonts w:ascii="Calibri" w:hAnsi="Calibri" w:cs="Calibri"/>
          <w:bCs/>
          <w:sz w:val="20"/>
        </w:rPr>
        <w:t>.</w:t>
      </w:r>
      <w:r w:rsidRPr="001E1F22">
        <w:rPr>
          <w:rFonts w:ascii="Calibri" w:hAnsi="Calibri" w:cs="Calibri"/>
          <w:bCs/>
          <w:sz w:val="20"/>
        </w:rPr>
        <w:t xml:space="preserve"> (Naturally constant catch projections do not provide discrimination amongst tests that involve changes to default assumptions for aspects of future data such as changes in precision, so that such tests will remain retained in this selected set.) A projected constant catch of 150 000t has been chosen as this will be more informative (in terms of the poor resource conservation perform</w:t>
      </w:r>
      <w:r w:rsidRPr="005B016B">
        <w:rPr>
          <w:rFonts w:ascii="Calibri" w:hAnsi="Calibri" w:cs="Calibri"/>
          <w:bCs/>
          <w:sz w:val="20"/>
        </w:rPr>
        <w:t>ers</w:t>
      </w:r>
      <w:r w:rsidRPr="001E1F22">
        <w:rPr>
          <w:rFonts w:ascii="Calibri" w:hAnsi="Calibri" w:cs="Calibri"/>
          <w:bCs/>
          <w:sz w:val="20"/>
        </w:rPr>
        <w:t>) than a constant catch set at the current TAC.</w:t>
      </w:r>
    </w:p>
    <w:p w:rsidR="00635E89" w:rsidRPr="001E1F22" w:rsidRDefault="00635E89" w:rsidP="00032F26">
      <w:pPr>
        <w:autoSpaceDE w:val="0"/>
        <w:autoSpaceDN w:val="0"/>
        <w:adjustRightInd w:val="0"/>
        <w:spacing w:after="120" w:line="240" w:lineRule="auto"/>
        <w:jc w:val="both"/>
        <w:rPr>
          <w:rFonts w:cs="Calibri"/>
          <w:sz w:val="20"/>
          <w:szCs w:val="20"/>
          <w:lang w:val="en-ZA"/>
        </w:rPr>
      </w:pPr>
    </w:p>
    <w:p w:rsidR="00635E89" w:rsidRPr="001E1F22" w:rsidRDefault="00635E89" w:rsidP="00032F26">
      <w:pPr>
        <w:autoSpaceDE w:val="0"/>
        <w:autoSpaceDN w:val="0"/>
        <w:adjustRightInd w:val="0"/>
        <w:spacing w:after="120" w:line="240" w:lineRule="auto"/>
        <w:jc w:val="both"/>
        <w:rPr>
          <w:rFonts w:cs="Calibri"/>
          <w:sz w:val="20"/>
          <w:szCs w:val="20"/>
          <w:lang w:val="en-ZA"/>
        </w:rPr>
      </w:pPr>
    </w:p>
    <w:p w:rsidR="00635E89" w:rsidRPr="001E1F22" w:rsidRDefault="00635E89" w:rsidP="00032F26">
      <w:pPr>
        <w:autoSpaceDE w:val="0"/>
        <w:autoSpaceDN w:val="0"/>
        <w:adjustRightInd w:val="0"/>
        <w:spacing w:after="120" w:line="240" w:lineRule="auto"/>
        <w:jc w:val="both"/>
        <w:rPr>
          <w:rFonts w:cs="Calibri"/>
          <w:b/>
          <w:sz w:val="20"/>
          <w:szCs w:val="20"/>
        </w:rPr>
      </w:pPr>
      <w:r w:rsidRPr="001E1F22">
        <w:rPr>
          <w:rFonts w:cs="Calibri"/>
          <w:b/>
          <w:sz w:val="20"/>
          <w:szCs w:val="20"/>
        </w:rPr>
        <w:t>RESULTS</w:t>
      </w:r>
    </w:p>
    <w:p w:rsidR="00635E89" w:rsidRPr="001E1F22" w:rsidRDefault="00635E89" w:rsidP="00032F26">
      <w:pPr>
        <w:autoSpaceDE w:val="0"/>
        <w:autoSpaceDN w:val="0"/>
        <w:adjustRightInd w:val="0"/>
        <w:spacing w:after="120" w:line="240" w:lineRule="auto"/>
        <w:jc w:val="both"/>
        <w:rPr>
          <w:rFonts w:cs="Calibri"/>
          <w:i/>
          <w:sz w:val="20"/>
          <w:szCs w:val="20"/>
        </w:rPr>
      </w:pPr>
      <w:r w:rsidRPr="001E1F22">
        <w:rPr>
          <w:rFonts w:cs="Calibri"/>
          <w:i/>
          <w:sz w:val="20"/>
          <w:szCs w:val="20"/>
        </w:rPr>
        <w:t xml:space="preserve">Tests related to M. </w:t>
      </w:r>
      <w:proofErr w:type="spellStart"/>
      <w:r w:rsidRPr="001E1F22">
        <w:rPr>
          <w:rFonts w:cs="Calibri"/>
          <w:i/>
          <w:sz w:val="20"/>
          <w:szCs w:val="20"/>
        </w:rPr>
        <w:t>paradoxus</w:t>
      </w:r>
      <w:proofErr w:type="spellEnd"/>
    </w:p>
    <w:p w:rsidR="00635E89" w:rsidRPr="001E1F22" w:rsidRDefault="00635E89" w:rsidP="00032F26">
      <w:pPr>
        <w:autoSpaceDE w:val="0"/>
        <w:autoSpaceDN w:val="0"/>
        <w:adjustRightInd w:val="0"/>
        <w:spacing w:after="120" w:line="240" w:lineRule="auto"/>
        <w:jc w:val="both"/>
        <w:rPr>
          <w:rFonts w:cs="Calibri"/>
          <w:sz w:val="20"/>
          <w:szCs w:val="20"/>
        </w:rPr>
      </w:pPr>
      <w:r>
        <w:rPr>
          <w:rFonts w:cs="Calibri"/>
          <w:sz w:val="20"/>
          <w:szCs w:val="20"/>
        </w:rPr>
        <w:t xml:space="preserve">Table 1 summarises the full set of robustness/sensitivity tests considered. (Some of these tests should be considered as “sensitivities” rather than formal robustness tests to provide OMs for candidate OMP testing, because they are included more to indicate impacts of specification variation on results than as arguably </w:t>
      </w:r>
      <w:proofErr w:type="gramStart"/>
      <w:r>
        <w:rPr>
          <w:rFonts w:cs="Calibri"/>
          <w:sz w:val="20"/>
          <w:szCs w:val="20"/>
        </w:rPr>
        <w:t>alternative</w:t>
      </w:r>
      <w:proofErr w:type="gramEnd"/>
      <w:r>
        <w:rPr>
          <w:rFonts w:cs="Calibri"/>
          <w:sz w:val="20"/>
          <w:szCs w:val="20"/>
        </w:rPr>
        <w:t xml:space="preserve"> plausible representations of reality.) While Rob1 to Rob29 involve different assumptions about the resource dynamics or past data, it is only in the projections that Rob30 to Rob38 change from the Reference Case (RS1).</w:t>
      </w:r>
    </w:p>
    <w:p w:rsidR="00635E89" w:rsidRPr="001E1F22" w:rsidRDefault="00635E89" w:rsidP="00032F26">
      <w:pPr>
        <w:autoSpaceDE w:val="0"/>
        <w:autoSpaceDN w:val="0"/>
        <w:adjustRightInd w:val="0"/>
        <w:spacing w:after="120" w:line="240" w:lineRule="auto"/>
        <w:jc w:val="both"/>
        <w:rPr>
          <w:rFonts w:cs="Calibri"/>
          <w:sz w:val="20"/>
          <w:szCs w:val="20"/>
        </w:rPr>
      </w:pPr>
      <w:r>
        <w:rPr>
          <w:rFonts w:cs="Calibri"/>
          <w:sz w:val="20"/>
          <w:szCs w:val="20"/>
        </w:rPr>
        <w:t>Table 2 summarises the key management quantities for Rob1 to Rob29, while Table 3 compares their different contributions to the total negative log-likelihood. Results for Rob1 to Rob16 have been presented earlier in Rademeyer and Butterworth (2010); however, an error was found in Rob10 and in some cases a better minimum was found (-</w:t>
      </w:r>
      <w:proofErr w:type="spellStart"/>
      <w:r>
        <w:rPr>
          <w:rFonts w:cs="Calibri"/>
          <w:sz w:val="20"/>
          <w:szCs w:val="20"/>
        </w:rPr>
        <w:t>lnL</w:t>
      </w:r>
      <w:proofErr w:type="spellEnd"/>
      <w:r>
        <w:rPr>
          <w:rFonts w:cs="Calibri"/>
          <w:sz w:val="20"/>
          <w:szCs w:val="20"/>
        </w:rPr>
        <w:t xml:space="preserve"> in bold in Table 2) so that these revised results are given here.</w:t>
      </w:r>
    </w:p>
    <w:p w:rsidR="00635E89" w:rsidRPr="001E1F22" w:rsidRDefault="00635E89" w:rsidP="00032F26">
      <w:pPr>
        <w:autoSpaceDE w:val="0"/>
        <w:autoSpaceDN w:val="0"/>
        <w:adjustRightInd w:val="0"/>
        <w:spacing w:after="120" w:line="240" w:lineRule="auto"/>
        <w:jc w:val="both"/>
        <w:rPr>
          <w:rFonts w:cs="Calibri"/>
          <w:sz w:val="20"/>
          <w:szCs w:val="20"/>
        </w:rPr>
      </w:pPr>
      <w:r>
        <w:rPr>
          <w:rFonts w:cs="Calibri"/>
          <w:sz w:val="20"/>
          <w:szCs w:val="20"/>
        </w:rPr>
        <w:t>Fig. 1 plots the estimated spawning biomass trajectories for these tests.</w:t>
      </w:r>
    </w:p>
    <w:p w:rsidR="00635E89" w:rsidRPr="001E1F22" w:rsidRDefault="00635E89" w:rsidP="00032F26">
      <w:pPr>
        <w:autoSpaceDE w:val="0"/>
        <w:autoSpaceDN w:val="0"/>
        <w:adjustRightInd w:val="0"/>
        <w:spacing w:after="120" w:line="240" w:lineRule="auto"/>
        <w:jc w:val="both"/>
        <w:rPr>
          <w:rFonts w:cs="Calibri"/>
          <w:sz w:val="20"/>
          <w:szCs w:val="20"/>
        </w:rPr>
      </w:pPr>
      <w:r>
        <w:rPr>
          <w:rFonts w:cs="Calibri"/>
          <w:sz w:val="20"/>
          <w:szCs w:val="20"/>
        </w:rPr>
        <w:t>Three performance statistics (</w:t>
      </w:r>
      <w:r w:rsidRPr="001E1F22">
        <w:rPr>
          <w:position w:val="-12"/>
          <w:sz w:val="20"/>
          <w:szCs w:val="20"/>
        </w:rPr>
        <w:object w:dxaOrig="11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9.5pt" o:ole="">
            <v:imagedata r:id="rId6" o:title=""/>
          </v:shape>
          <o:OLEObject Type="Embed" ProgID="Equation.3" ShapeID="_x0000_i1025" DrawAspect="Content" ObjectID="_1351586477" r:id="rId7"/>
        </w:object>
      </w:r>
      <w:r w:rsidRPr="001E1F22">
        <w:rPr>
          <w:sz w:val="20"/>
          <w:szCs w:val="20"/>
        </w:rPr>
        <w:t>,</w:t>
      </w:r>
      <w:r w:rsidRPr="001E1F22">
        <w:rPr>
          <w:position w:val="-14"/>
          <w:sz w:val="20"/>
          <w:szCs w:val="20"/>
        </w:rPr>
        <w:object w:dxaOrig="1020" w:dyaOrig="400">
          <v:shape id="_x0000_i1026" type="#_x0000_t75" style="width:51pt;height:19.5pt" o:ole="">
            <v:imagedata r:id="rId8" o:title=""/>
          </v:shape>
          <o:OLEObject Type="Embed" ProgID="Equation.3" ShapeID="_x0000_i1026" DrawAspect="Content" ObjectID="_1351586478" r:id="rId9"/>
        </w:object>
      </w:r>
      <w:r w:rsidRPr="001E1F22">
        <w:rPr>
          <w:sz w:val="20"/>
          <w:szCs w:val="20"/>
        </w:rPr>
        <w:t xml:space="preserve"> and </w:t>
      </w:r>
      <w:r w:rsidRPr="001E1F22">
        <w:rPr>
          <w:position w:val="-12"/>
          <w:sz w:val="20"/>
          <w:szCs w:val="20"/>
        </w:rPr>
        <w:object w:dxaOrig="1120" w:dyaOrig="380">
          <v:shape id="_x0000_i1027" type="#_x0000_t75" style="width:54.75pt;height:19.5pt" o:ole="">
            <v:imagedata r:id="rId10" o:title=""/>
          </v:shape>
          <o:OLEObject Type="Embed" ProgID="Equation.3" ShapeID="_x0000_i1027" DrawAspect="Content" ObjectID="_1351586479" r:id="rId11"/>
        </w:object>
      </w:r>
      <w:r w:rsidRPr="001E1F22">
        <w:rPr>
          <w:sz w:val="20"/>
          <w:szCs w:val="20"/>
        </w:rPr>
        <w:t xml:space="preserve"> for the female component of the population) are plotted in Fig. 2 for the full set of RS and robustness tests under a constant catch of 150 000t.</w:t>
      </w:r>
    </w:p>
    <w:p w:rsidR="00635E89" w:rsidRPr="001E1F22" w:rsidRDefault="00635E89" w:rsidP="00032F26">
      <w:pPr>
        <w:spacing w:after="120"/>
        <w:jc w:val="both"/>
        <w:rPr>
          <w:rFonts w:cs="Calibri"/>
          <w:sz w:val="20"/>
          <w:szCs w:val="20"/>
        </w:rPr>
      </w:pPr>
      <w:r>
        <w:rPr>
          <w:rFonts w:cs="Calibri"/>
          <w:sz w:val="20"/>
          <w:szCs w:val="20"/>
        </w:rPr>
        <w:t>It is suggested that the following robustness tests related to</w:t>
      </w:r>
      <w:r>
        <w:rPr>
          <w:rFonts w:cs="Calibri"/>
          <w:i/>
          <w:sz w:val="20"/>
          <w:szCs w:val="20"/>
        </w:rPr>
        <w:t xml:space="preserve"> M. paradoxus</w:t>
      </w:r>
      <w:r>
        <w:rPr>
          <w:rFonts w:cs="Calibri"/>
          <w:sz w:val="20"/>
          <w:szCs w:val="20"/>
        </w:rPr>
        <w:t xml:space="preserve"> be retained in the selected set at this stage:</w:t>
      </w:r>
    </w:p>
    <w:p w:rsidR="00635E89" w:rsidRPr="001E1F22" w:rsidRDefault="00635E89" w:rsidP="00032F26">
      <w:pPr>
        <w:spacing w:after="120"/>
        <w:jc w:val="both"/>
        <w:rPr>
          <w:rFonts w:cs="Calibri"/>
          <w:sz w:val="20"/>
          <w:szCs w:val="20"/>
        </w:rPr>
      </w:pPr>
      <w:r>
        <w:rPr>
          <w:rFonts w:cs="Calibri"/>
          <w:i/>
          <w:sz w:val="20"/>
          <w:szCs w:val="20"/>
        </w:rPr>
        <w:t>Changes in the past</w:t>
      </w:r>
      <w:r>
        <w:rPr>
          <w:rFonts w:cs="Calibri"/>
          <w:sz w:val="20"/>
          <w:szCs w:val="20"/>
        </w:rPr>
        <w:t xml:space="preserve">: robustness tests Rob5 (true Ricker), Rob13 (decrease in </w:t>
      </w:r>
      <w:r>
        <w:rPr>
          <w:rFonts w:cs="Calibri"/>
          <w:i/>
          <w:sz w:val="20"/>
          <w:szCs w:val="20"/>
        </w:rPr>
        <w:t>K</w:t>
      </w:r>
      <w:r>
        <w:rPr>
          <w:rFonts w:cs="Calibri"/>
          <w:sz w:val="20"/>
          <w:szCs w:val="20"/>
        </w:rPr>
        <w:t xml:space="preserve">), Rob17 (start in 1978) and Rob25 (lower steepness </w:t>
      </w:r>
      <w:r>
        <w:rPr>
          <w:rFonts w:cs="Calibri"/>
          <w:i/>
          <w:sz w:val="20"/>
          <w:szCs w:val="20"/>
        </w:rPr>
        <w:t>h</w:t>
      </w:r>
      <w:r>
        <w:rPr>
          <w:rFonts w:cs="Calibri"/>
          <w:sz w:val="20"/>
          <w:szCs w:val="20"/>
        </w:rPr>
        <w:t>).</w:t>
      </w:r>
    </w:p>
    <w:p w:rsidR="00635E89" w:rsidRPr="001E1F22" w:rsidRDefault="00635E89" w:rsidP="00032F26">
      <w:pPr>
        <w:spacing w:after="120"/>
        <w:jc w:val="both"/>
        <w:rPr>
          <w:rFonts w:cs="Calibri"/>
          <w:sz w:val="20"/>
          <w:szCs w:val="20"/>
        </w:rPr>
      </w:pPr>
      <w:r>
        <w:rPr>
          <w:rFonts w:cs="Calibri"/>
          <w:i/>
          <w:sz w:val="20"/>
          <w:szCs w:val="20"/>
        </w:rPr>
        <w:lastRenderedPageBreak/>
        <w:t>Changes in the future</w:t>
      </w:r>
      <w:r>
        <w:rPr>
          <w:rFonts w:cs="Calibri"/>
          <w:sz w:val="20"/>
          <w:szCs w:val="20"/>
        </w:rPr>
        <w:t xml:space="preserve">: robustness tests 31f (case of no surveys and an undetected catchability trend for CPUE), Rob35 (undetected catchability trend for CPUE) and Rob37 (decrease in </w:t>
      </w:r>
      <w:r>
        <w:rPr>
          <w:rFonts w:cs="Calibri"/>
          <w:i/>
          <w:sz w:val="20"/>
          <w:szCs w:val="20"/>
        </w:rPr>
        <w:t>K</w:t>
      </w:r>
      <w:r>
        <w:rPr>
          <w:rFonts w:cs="Calibri"/>
          <w:sz w:val="20"/>
          <w:szCs w:val="20"/>
        </w:rPr>
        <w:t>).</w:t>
      </w:r>
    </w:p>
    <w:p w:rsidR="00635E89" w:rsidRPr="001E1F22" w:rsidRDefault="00635E89" w:rsidP="00032F26">
      <w:pPr>
        <w:spacing w:after="120"/>
        <w:jc w:val="both"/>
        <w:rPr>
          <w:rFonts w:cs="Calibri"/>
          <w:sz w:val="20"/>
          <w:szCs w:val="20"/>
        </w:rPr>
      </w:pPr>
      <w:r>
        <w:rPr>
          <w:rFonts w:cs="Calibri"/>
          <w:sz w:val="20"/>
          <w:szCs w:val="20"/>
        </w:rPr>
        <w:t>With the exception of tests Rob31 and Rob35 for which constant catch trials do not provide a test of the issue involved, the reason for these selections is inadequate increase of spawning biomass towards its MSY level.</w:t>
      </w:r>
    </w:p>
    <w:p w:rsidR="00635E89" w:rsidRPr="001E1F22" w:rsidRDefault="00635E89" w:rsidP="00032F26">
      <w:pPr>
        <w:spacing w:after="120"/>
        <w:jc w:val="both"/>
        <w:rPr>
          <w:rFonts w:cs="Calibri"/>
          <w:sz w:val="20"/>
          <w:szCs w:val="20"/>
        </w:rPr>
      </w:pPr>
    </w:p>
    <w:p w:rsidR="00635E89" w:rsidRPr="001E1F22" w:rsidRDefault="00635E89" w:rsidP="00F729A7">
      <w:pPr>
        <w:autoSpaceDE w:val="0"/>
        <w:autoSpaceDN w:val="0"/>
        <w:adjustRightInd w:val="0"/>
        <w:spacing w:after="120" w:line="240" w:lineRule="auto"/>
        <w:jc w:val="both"/>
        <w:rPr>
          <w:rFonts w:cs="Calibri"/>
          <w:i/>
          <w:sz w:val="20"/>
          <w:szCs w:val="20"/>
        </w:rPr>
      </w:pPr>
      <w:r>
        <w:rPr>
          <w:rFonts w:cs="Calibri"/>
          <w:i/>
          <w:sz w:val="20"/>
          <w:szCs w:val="20"/>
        </w:rPr>
        <w:t>Tests related to M. capensis</w:t>
      </w:r>
    </w:p>
    <w:p w:rsidR="00635E89" w:rsidRPr="001E1F22" w:rsidRDefault="00635E89" w:rsidP="00F729A7">
      <w:pPr>
        <w:autoSpaceDE w:val="0"/>
        <w:autoSpaceDN w:val="0"/>
        <w:adjustRightInd w:val="0"/>
        <w:spacing w:after="120" w:line="240" w:lineRule="auto"/>
        <w:jc w:val="both"/>
        <w:rPr>
          <w:rFonts w:cs="Calibri"/>
          <w:sz w:val="20"/>
          <w:szCs w:val="20"/>
        </w:rPr>
      </w:pPr>
      <w:r>
        <w:rPr>
          <w:rFonts w:cs="Calibri"/>
          <w:sz w:val="20"/>
          <w:szCs w:val="20"/>
        </w:rPr>
        <w:t xml:space="preserve">The robustness tests described in Table 1 are mostly based on RS1, i.e. they are representative of RSa, for which </w:t>
      </w:r>
      <w:r>
        <w:rPr>
          <w:rFonts w:cs="Calibri"/>
          <w:i/>
          <w:sz w:val="20"/>
          <w:szCs w:val="20"/>
        </w:rPr>
        <w:t>M. capensis</w:t>
      </w:r>
      <w:r>
        <w:rPr>
          <w:rFonts w:cs="Calibri"/>
          <w:sz w:val="20"/>
          <w:szCs w:val="20"/>
        </w:rPr>
        <w:t xml:space="preserve"> is currently well above MSYL. Robustness tests are also needed in the case when the extent of </w:t>
      </w:r>
      <w:r>
        <w:rPr>
          <w:rFonts w:cs="Calibri"/>
          <w:i/>
          <w:sz w:val="20"/>
          <w:szCs w:val="20"/>
        </w:rPr>
        <w:t>M. capensis</w:t>
      </w:r>
      <w:r>
        <w:rPr>
          <w:rFonts w:cs="Calibri"/>
          <w:sz w:val="20"/>
          <w:szCs w:val="20"/>
        </w:rPr>
        <w:t xml:space="preserve"> </w:t>
      </w:r>
      <w:r w:rsidRPr="005B016B">
        <w:rPr>
          <w:rFonts w:cs="Calibri"/>
          <w:sz w:val="20"/>
          <w:szCs w:val="20"/>
        </w:rPr>
        <w:t>depletion</w:t>
      </w:r>
      <w:r>
        <w:rPr>
          <w:rFonts w:cs="Calibri"/>
          <w:sz w:val="20"/>
          <w:szCs w:val="20"/>
        </w:rPr>
        <w:t xml:space="preserve"> is estimated to be relatively high (RSb) and six robustness tests have been selected to be run on RS11 (one of the RSb </w:t>
      </w:r>
      <w:r w:rsidRPr="005B016B">
        <w:rPr>
          <w:rFonts w:cs="Calibri"/>
          <w:sz w:val="20"/>
          <w:szCs w:val="20"/>
        </w:rPr>
        <w:t>OM</w:t>
      </w:r>
      <w:r>
        <w:rPr>
          <w:rFonts w:cs="Calibri"/>
          <w:sz w:val="20"/>
          <w:szCs w:val="20"/>
        </w:rPr>
        <w:t xml:space="preserve">s). For changes in the past, three of the four robustness tests selected for </w:t>
      </w:r>
      <w:r>
        <w:rPr>
          <w:rFonts w:cs="Calibri"/>
          <w:i/>
          <w:sz w:val="20"/>
          <w:szCs w:val="20"/>
        </w:rPr>
        <w:t>M. paradoxus</w:t>
      </w:r>
      <w:r>
        <w:rPr>
          <w:rFonts w:cs="Calibri"/>
          <w:sz w:val="20"/>
          <w:szCs w:val="20"/>
        </w:rPr>
        <w:t xml:space="preserve"> testing above have been chosen (Rob5, Rob13 and Rob25, but not Rob17 which is of a different nature and does not show </w:t>
      </w:r>
      <w:r w:rsidRPr="002C5045">
        <w:rPr>
          <w:rFonts w:cs="Calibri"/>
          <w:i/>
          <w:sz w:val="20"/>
          <w:szCs w:val="20"/>
        </w:rPr>
        <w:t>M. capensis</w:t>
      </w:r>
      <w:r w:rsidRPr="005B016B">
        <w:rPr>
          <w:rFonts w:cs="Calibri"/>
          <w:sz w:val="20"/>
          <w:szCs w:val="20"/>
        </w:rPr>
        <w:t xml:space="preserve"> </w:t>
      </w:r>
      <w:r>
        <w:rPr>
          <w:rFonts w:cs="Calibri"/>
          <w:sz w:val="20"/>
          <w:szCs w:val="20"/>
        </w:rPr>
        <w:t xml:space="preserve">to be heavily depleted) and for changes in the future, Rob37 (decrease in </w:t>
      </w:r>
      <w:r w:rsidRPr="001E1F22">
        <w:rPr>
          <w:rFonts w:cs="Calibri"/>
          <w:i/>
          <w:sz w:val="20"/>
          <w:szCs w:val="20"/>
        </w:rPr>
        <w:t>K</w:t>
      </w:r>
      <w:r w:rsidRPr="001E1F22">
        <w:rPr>
          <w:rFonts w:cs="Calibri"/>
          <w:sz w:val="20"/>
          <w:szCs w:val="20"/>
        </w:rPr>
        <w:t>) has been selected.</w:t>
      </w:r>
    </w:p>
    <w:p w:rsidR="00635E89" w:rsidRPr="001E1F22" w:rsidRDefault="00635E89" w:rsidP="00F729A7">
      <w:pPr>
        <w:autoSpaceDE w:val="0"/>
        <w:autoSpaceDN w:val="0"/>
        <w:adjustRightInd w:val="0"/>
        <w:spacing w:after="120" w:line="240" w:lineRule="auto"/>
        <w:jc w:val="both"/>
        <w:rPr>
          <w:rFonts w:cs="Calibri"/>
          <w:sz w:val="20"/>
          <w:szCs w:val="20"/>
        </w:rPr>
      </w:pPr>
      <w:r>
        <w:rPr>
          <w:rFonts w:cs="Calibri"/>
          <w:sz w:val="20"/>
          <w:szCs w:val="20"/>
        </w:rPr>
        <w:t>Table 4 summarises the key management quantities for the four tests based on RS11, while Table 5 compares their different contributions to the total negative log-likelihood. Fig. 3 plots the estimated spawning biomass trajectories for these tests.</w:t>
      </w:r>
    </w:p>
    <w:p w:rsidR="00635E89" w:rsidRPr="001E1F22" w:rsidRDefault="00635E89" w:rsidP="00F729A7">
      <w:pPr>
        <w:autoSpaceDE w:val="0"/>
        <w:autoSpaceDN w:val="0"/>
        <w:adjustRightInd w:val="0"/>
        <w:spacing w:after="120" w:line="240" w:lineRule="auto"/>
        <w:jc w:val="both"/>
        <w:rPr>
          <w:rFonts w:cs="Calibri"/>
          <w:sz w:val="20"/>
          <w:szCs w:val="20"/>
        </w:rPr>
      </w:pPr>
      <w:r>
        <w:rPr>
          <w:rFonts w:cs="Calibri"/>
          <w:sz w:val="20"/>
          <w:szCs w:val="20"/>
        </w:rPr>
        <w:t>Three performance statistics (</w:t>
      </w:r>
      <w:r w:rsidRPr="001E1F22">
        <w:rPr>
          <w:position w:val="-12"/>
          <w:sz w:val="20"/>
          <w:szCs w:val="20"/>
        </w:rPr>
        <w:object w:dxaOrig="1120" w:dyaOrig="380">
          <v:shape id="_x0000_i1028" type="#_x0000_t75" style="width:54.75pt;height:19.5pt" o:ole="">
            <v:imagedata r:id="rId6" o:title=""/>
          </v:shape>
          <o:OLEObject Type="Embed" ProgID="Equation.3" ShapeID="_x0000_i1028" DrawAspect="Content" ObjectID="_1351586480" r:id="rId12"/>
        </w:object>
      </w:r>
      <w:r w:rsidRPr="001E1F22">
        <w:rPr>
          <w:sz w:val="20"/>
          <w:szCs w:val="20"/>
        </w:rPr>
        <w:t>,</w:t>
      </w:r>
      <w:r w:rsidRPr="001E1F22">
        <w:rPr>
          <w:position w:val="-14"/>
          <w:sz w:val="20"/>
          <w:szCs w:val="20"/>
        </w:rPr>
        <w:object w:dxaOrig="1020" w:dyaOrig="400">
          <v:shape id="_x0000_i1029" type="#_x0000_t75" style="width:51pt;height:19.5pt" o:ole="">
            <v:imagedata r:id="rId8" o:title=""/>
          </v:shape>
          <o:OLEObject Type="Embed" ProgID="Equation.3" ShapeID="_x0000_i1029" DrawAspect="Content" ObjectID="_1351586481" r:id="rId13"/>
        </w:object>
      </w:r>
      <w:r w:rsidRPr="001E1F22">
        <w:rPr>
          <w:sz w:val="20"/>
          <w:szCs w:val="20"/>
        </w:rPr>
        <w:t xml:space="preserve"> and </w:t>
      </w:r>
      <w:r w:rsidRPr="001E1F22">
        <w:rPr>
          <w:position w:val="-12"/>
          <w:sz w:val="20"/>
          <w:szCs w:val="20"/>
        </w:rPr>
        <w:object w:dxaOrig="1120" w:dyaOrig="380">
          <v:shape id="_x0000_i1030" type="#_x0000_t75" style="width:54.75pt;height:19.5pt" o:ole="">
            <v:imagedata r:id="rId10" o:title=""/>
          </v:shape>
          <o:OLEObject Type="Embed" ProgID="Equation.3" ShapeID="_x0000_i1030" DrawAspect="Content" ObjectID="_1351586482" r:id="rId14"/>
        </w:object>
      </w:r>
      <w:r w:rsidRPr="001E1F22">
        <w:rPr>
          <w:sz w:val="20"/>
          <w:szCs w:val="20"/>
        </w:rPr>
        <w:t xml:space="preserve"> for the female component of the population) are plotted in Fig. 4 for RS11 and these </w:t>
      </w:r>
      <w:r>
        <w:rPr>
          <w:sz w:val="20"/>
          <w:szCs w:val="20"/>
        </w:rPr>
        <w:t>four</w:t>
      </w:r>
      <w:r w:rsidRPr="001E1F22">
        <w:rPr>
          <w:sz w:val="20"/>
          <w:szCs w:val="20"/>
        </w:rPr>
        <w:t xml:space="preserve"> robustness tests under a constant catch of 150 000t.</w:t>
      </w:r>
    </w:p>
    <w:p w:rsidR="00635E89" w:rsidRPr="001E1F22" w:rsidRDefault="00635E89" w:rsidP="00B717B6">
      <w:pPr>
        <w:spacing w:after="120"/>
        <w:jc w:val="both"/>
        <w:rPr>
          <w:rFonts w:cs="Calibri"/>
          <w:sz w:val="20"/>
          <w:szCs w:val="20"/>
        </w:rPr>
      </w:pPr>
      <w:r w:rsidRPr="001E1F22">
        <w:rPr>
          <w:rFonts w:cs="Calibri"/>
          <w:sz w:val="20"/>
          <w:szCs w:val="20"/>
        </w:rPr>
        <w:t>It is suggested that the</w:t>
      </w:r>
      <w:r>
        <w:rPr>
          <w:rFonts w:cs="Calibri"/>
          <w:sz w:val="20"/>
          <w:szCs w:val="20"/>
        </w:rPr>
        <w:t>se</w:t>
      </w:r>
      <w:r w:rsidRPr="001E1F22">
        <w:rPr>
          <w:rFonts w:cs="Calibri"/>
          <w:sz w:val="20"/>
          <w:szCs w:val="20"/>
        </w:rPr>
        <w:t xml:space="preserve"> </w:t>
      </w:r>
      <w:r>
        <w:rPr>
          <w:rFonts w:cs="Calibri"/>
          <w:sz w:val="20"/>
          <w:szCs w:val="20"/>
        </w:rPr>
        <w:t>four</w:t>
      </w:r>
      <w:r w:rsidRPr="001E1F22">
        <w:rPr>
          <w:rFonts w:cs="Calibri"/>
          <w:sz w:val="20"/>
          <w:szCs w:val="20"/>
        </w:rPr>
        <w:t xml:space="preserve"> robustness tests related to</w:t>
      </w:r>
      <w:r w:rsidRPr="001E1F22">
        <w:rPr>
          <w:rFonts w:cs="Calibri"/>
          <w:i/>
          <w:sz w:val="20"/>
          <w:szCs w:val="20"/>
        </w:rPr>
        <w:t xml:space="preserve"> M. </w:t>
      </w:r>
      <w:r>
        <w:rPr>
          <w:rFonts w:cs="Calibri"/>
          <w:i/>
          <w:sz w:val="20"/>
          <w:szCs w:val="20"/>
        </w:rPr>
        <w:t>capensis</w:t>
      </w:r>
      <w:r w:rsidRPr="001E1F22">
        <w:rPr>
          <w:rFonts w:cs="Calibri"/>
          <w:sz w:val="20"/>
          <w:szCs w:val="20"/>
        </w:rPr>
        <w:t xml:space="preserve"> be retained in the selected set at this stage</w:t>
      </w:r>
      <w:r>
        <w:rPr>
          <w:rFonts w:cs="Calibri"/>
          <w:sz w:val="20"/>
          <w:szCs w:val="20"/>
        </w:rPr>
        <w:t>.</w:t>
      </w:r>
    </w:p>
    <w:p w:rsidR="00635E89" w:rsidRPr="001E1F22" w:rsidRDefault="00635E89" w:rsidP="00032F26">
      <w:pPr>
        <w:spacing w:after="120"/>
        <w:jc w:val="both"/>
        <w:rPr>
          <w:rFonts w:cs="Calibri"/>
          <w:sz w:val="20"/>
          <w:szCs w:val="20"/>
        </w:rPr>
      </w:pPr>
    </w:p>
    <w:p w:rsidR="00635E89" w:rsidRPr="001E1F22" w:rsidRDefault="00635E89" w:rsidP="00032F26">
      <w:pPr>
        <w:spacing w:after="120"/>
        <w:jc w:val="both"/>
        <w:rPr>
          <w:rFonts w:cs="Calibri"/>
          <w:b/>
          <w:sz w:val="20"/>
          <w:szCs w:val="20"/>
        </w:rPr>
      </w:pPr>
      <w:r w:rsidRPr="001E1F22">
        <w:rPr>
          <w:rFonts w:cs="Calibri"/>
          <w:b/>
          <w:sz w:val="20"/>
          <w:szCs w:val="20"/>
        </w:rPr>
        <w:t>REFERENCES</w:t>
      </w:r>
    </w:p>
    <w:p w:rsidR="00635E89" w:rsidRPr="001E1F22" w:rsidRDefault="00635E89" w:rsidP="004D61BC">
      <w:pPr>
        <w:spacing w:before="120"/>
        <w:ind w:left="720" w:hanging="720"/>
        <w:jc w:val="both"/>
        <w:rPr>
          <w:sz w:val="20"/>
          <w:szCs w:val="20"/>
          <w:lang w:val="en-ZA"/>
        </w:rPr>
      </w:pPr>
      <w:r w:rsidRPr="001E1F22">
        <w:rPr>
          <w:sz w:val="20"/>
          <w:szCs w:val="20"/>
          <w:lang w:val="en-ZA"/>
        </w:rPr>
        <w:t xml:space="preserve">Gaylard JD and </w:t>
      </w:r>
      <w:smartTag w:uri="urn:schemas-microsoft-com:office:smarttags" w:element="City">
        <w:smartTag w:uri="urn:schemas-microsoft-com:office:smarttags" w:element="place">
          <w:r w:rsidRPr="001E1F22">
            <w:rPr>
              <w:sz w:val="20"/>
              <w:szCs w:val="20"/>
              <w:lang w:val="en-ZA"/>
            </w:rPr>
            <w:t>Bergh</w:t>
          </w:r>
        </w:smartTag>
        <w:r w:rsidRPr="001E1F22">
          <w:rPr>
            <w:sz w:val="20"/>
            <w:szCs w:val="20"/>
            <w:lang w:val="en-ZA"/>
          </w:rPr>
          <w:t xml:space="preserve"> </w:t>
        </w:r>
        <w:smartTag w:uri="urn:schemas-microsoft-com:office:smarttags" w:element="State">
          <w:r w:rsidRPr="001E1F22">
            <w:rPr>
              <w:sz w:val="20"/>
              <w:szCs w:val="20"/>
              <w:lang w:val="en-ZA"/>
            </w:rPr>
            <w:t>MO.</w:t>
          </w:r>
        </w:smartTag>
      </w:smartTag>
      <w:r w:rsidRPr="001E1F22">
        <w:rPr>
          <w:sz w:val="20"/>
          <w:szCs w:val="20"/>
          <w:lang w:val="en-ZA"/>
        </w:rPr>
        <w:t xml:space="preserve"> 2009. Update of the hake species split models in the light of more recent survey data and a revision of the large/medium/small size classification. Unpublished report.</w:t>
      </w:r>
      <w:r w:rsidRPr="001E1F22">
        <w:rPr>
          <w:rFonts w:cs="Calibri"/>
          <w:sz w:val="20"/>
          <w:szCs w:val="20"/>
          <w:lang w:val="en-ZA"/>
        </w:rPr>
        <w:t xml:space="preserve"> </w:t>
      </w:r>
      <w:r w:rsidRPr="001E1F22">
        <w:rPr>
          <w:rFonts w:cs="Calibri"/>
          <w:sz w:val="20"/>
          <w:szCs w:val="20"/>
        </w:rPr>
        <w:t>MARAM IWS/DEC09/HP/14.</w:t>
      </w:r>
    </w:p>
    <w:p w:rsidR="00635E89" w:rsidRPr="001E1F22" w:rsidRDefault="00635E89" w:rsidP="004D61BC">
      <w:pPr>
        <w:spacing w:before="120"/>
        <w:ind w:left="720" w:hanging="720"/>
        <w:jc w:val="both"/>
        <w:rPr>
          <w:sz w:val="20"/>
          <w:szCs w:val="20"/>
          <w:lang w:val="en-ZA"/>
        </w:rPr>
      </w:pPr>
      <w:r>
        <w:rPr>
          <w:sz w:val="20"/>
          <w:szCs w:val="20"/>
          <w:lang w:val="en-ZA"/>
        </w:rPr>
        <w:t xml:space="preserve">Glazer JP and Butterworth DS. 2009. </w:t>
      </w:r>
      <w:r>
        <w:rPr>
          <w:sz w:val="20"/>
          <w:szCs w:val="20"/>
        </w:rPr>
        <w:t xml:space="preserve">Results from sensitivity tests related to the models used to standardize the offshore commercial trawl CPUE data of </w:t>
      </w:r>
      <w:r>
        <w:rPr>
          <w:i/>
          <w:sz w:val="20"/>
          <w:szCs w:val="20"/>
        </w:rPr>
        <w:t>M. capensis</w:t>
      </w:r>
      <w:r>
        <w:rPr>
          <w:sz w:val="20"/>
          <w:szCs w:val="20"/>
        </w:rPr>
        <w:t xml:space="preserve"> and </w:t>
      </w:r>
      <w:r>
        <w:rPr>
          <w:i/>
          <w:sz w:val="20"/>
          <w:szCs w:val="20"/>
        </w:rPr>
        <w:t>M. paradoxus</w:t>
      </w:r>
      <w:r>
        <w:rPr>
          <w:sz w:val="20"/>
          <w:szCs w:val="20"/>
        </w:rPr>
        <w:t xml:space="preserve"> respectively.</w:t>
      </w:r>
      <w:r>
        <w:rPr>
          <w:sz w:val="20"/>
          <w:szCs w:val="20"/>
          <w:lang w:val="en-ZA"/>
        </w:rPr>
        <w:t xml:space="preserve"> Unpublished report, Marine and Coastal Management. MCM/2009/NOV/SWG-DEM/95.</w:t>
      </w:r>
    </w:p>
    <w:p w:rsidR="00635E89" w:rsidRPr="001E1F22" w:rsidRDefault="00635E89" w:rsidP="000C6397">
      <w:pPr>
        <w:spacing w:before="120"/>
        <w:ind w:left="720" w:hanging="720"/>
        <w:jc w:val="both"/>
        <w:rPr>
          <w:sz w:val="20"/>
          <w:szCs w:val="20"/>
        </w:rPr>
      </w:pPr>
      <w:r>
        <w:rPr>
          <w:sz w:val="20"/>
          <w:szCs w:val="20"/>
        </w:rPr>
        <w:t xml:space="preserve">Rademeyer RA and Butterworth DS. 2010. Proposed Reference Set for the South African hake resource to be used in OMP-2010 testing. Unpublished report, Marine and Coastal Management, </w:t>
      </w:r>
      <w:smartTag w:uri="urn:schemas-microsoft-com:office:smarttags" w:element="country-region">
        <w:smartTag w:uri="urn:schemas-microsoft-com:office:smarttags" w:element="place">
          <w:r>
            <w:rPr>
              <w:sz w:val="20"/>
              <w:szCs w:val="20"/>
            </w:rPr>
            <w:t>South Africa</w:t>
          </w:r>
        </w:smartTag>
      </w:smartTag>
      <w:r>
        <w:rPr>
          <w:sz w:val="20"/>
          <w:szCs w:val="20"/>
        </w:rPr>
        <w:t>. MCM/2010/FEB/SWG-DEM/05.</w:t>
      </w:r>
    </w:p>
    <w:p w:rsidR="00635E89" w:rsidRPr="001E1F22" w:rsidRDefault="00635E89" w:rsidP="004D61BC">
      <w:pPr>
        <w:spacing w:before="120"/>
        <w:ind w:left="720" w:hanging="720"/>
        <w:jc w:val="both"/>
        <w:rPr>
          <w:sz w:val="20"/>
          <w:szCs w:val="20"/>
          <w:lang w:val="en-ZA"/>
        </w:rPr>
      </w:pPr>
      <w:r>
        <w:rPr>
          <w:sz w:val="20"/>
          <w:szCs w:val="20"/>
          <w:lang w:val="en-ZA"/>
        </w:rPr>
        <w:t>Wilhelm M, Durholtz D and Roux J-P. 2009. Age validation and methods of age determination of hake – based on age validation of Namibian</w:t>
      </w:r>
      <w:r>
        <w:rPr>
          <w:i/>
          <w:sz w:val="20"/>
          <w:szCs w:val="20"/>
          <w:lang w:val="en-ZA"/>
        </w:rPr>
        <w:t xml:space="preserve"> Merluccius capensis</w:t>
      </w:r>
      <w:r>
        <w:rPr>
          <w:sz w:val="20"/>
          <w:szCs w:val="20"/>
          <w:lang w:val="en-ZA"/>
        </w:rPr>
        <w:t>. Unpublished report, Marine and Coastal Management. MCM/2009/JULY/SWG-DEM/58.</w:t>
      </w:r>
    </w:p>
    <w:p w:rsidR="00635E89" w:rsidRPr="001E1F22" w:rsidRDefault="00635E89" w:rsidP="00032F26">
      <w:pPr>
        <w:spacing w:after="120"/>
        <w:jc w:val="both"/>
        <w:rPr>
          <w:rFonts w:cs="Calibri"/>
          <w:sz w:val="20"/>
          <w:szCs w:val="20"/>
        </w:rPr>
      </w:pPr>
    </w:p>
    <w:p w:rsidR="00635E89" w:rsidRDefault="00635E89">
      <w:pPr>
        <w:rPr>
          <w:rFonts w:cs="Calibri"/>
          <w:sz w:val="20"/>
          <w:szCs w:val="20"/>
        </w:rPr>
      </w:pPr>
      <w:r>
        <w:rPr>
          <w:rFonts w:cs="Calibri"/>
          <w:sz w:val="20"/>
          <w:szCs w:val="20"/>
        </w:rPr>
        <w:br w:type="page"/>
      </w:r>
      <w:r w:rsidR="00164C61">
        <w:rPr>
          <w:noProof/>
          <w:lang w:val="en-ZA" w:eastAsia="en-ZA"/>
        </w:rPr>
        <w:lastRenderedPageBreak/>
        <w:drawing>
          <wp:anchor distT="0" distB="0" distL="114300" distR="114300" simplePos="0" relativeHeight="251656704" behindDoc="1" locked="0" layoutInCell="1" allowOverlap="1">
            <wp:simplePos x="0" y="0"/>
            <wp:positionH relativeFrom="column">
              <wp:posOffset>-6350</wp:posOffset>
            </wp:positionH>
            <wp:positionV relativeFrom="paragraph">
              <wp:posOffset>252730</wp:posOffset>
            </wp:positionV>
            <wp:extent cx="5029200" cy="885698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029200" cy="8856980"/>
                    </a:xfrm>
                    <a:prstGeom prst="rect">
                      <a:avLst/>
                    </a:prstGeom>
                    <a:noFill/>
                  </pic:spPr>
                </pic:pic>
              </a:graphicData>
            </a:graphic>
          </wp:anchor>
        </w:drawing>
      </w:r>
      <w:r>
        <w:rPr>
          <w:rFonts w:cs="Calibri"/>
          <w:sz w:val="20"/>
          <w:szCs w:val="20"/>
        </w:rPr>
        <w:t>Table 1: Summary of the full set of robustness/sensitivity tests.</w:t>
      </w: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Pr="0039698B" w:rsidRDefault="00635E89" w:rsidP="00F729A7">
      <w:pPr>
        <w:rPr>
          <w:rFonts w:cs="Calibri"/>
          <w:sz w:val="20"/>
          <w:szCs w:val="20"/>
        </w:rPr>
      </w:pPr>
      <w:r>
        <w:rPr>
          <w:rFonts w:cs="Calibri"/>
          <w:sz w:val="20"/>
          <w:szCs w:val="20"/>
        </w:rPr>
        <w:br w:type="page"/>
      </w:r>
      <w:r w:rsidRPr="0039698B">
        <w:rPr>
          <w:rFonts w:cs="Calibri"/>
          <w:sz w:val="20"/>
          <w:szCs w:val="20"/>
        </w:rPr>
        <w:lastRenderedPageBreak/>
        <w:t>Table 2: Estimate</w:t>
      </w:r>
      <w:r>
        <w:rPr>
          <w:rFonts w:cs="Calibri"/>
          <w:sz w:val="20"/>
          <w:szCs w:val="20"/>
        </w:rPr>
        <w:t>s of management quantities for</w:t>
      </w:r>
      <w:r w:rsidRPr="0039698B">
        <w:rPr>
          <w:rFonts w:cs="Calibri"/>
          <w:sz w:val="20"/>
          <w:szCs w:val="20"/>
        </w:rPr>
        <w:t xml:space="preserve"> RS</w:t>
      </w:r>
      <w:r>
        <w:rPr>
          <w:rFonts w:cs="Calibri"/>
          <w:sz w:val="20"/>
          <w:szCs w:val="20"/>
        </w:rPr>
        <w:t>1 and Rob1 to Rob29</w:t>
      </w:r>
      <w:r w:rsidRPr="0039698B">
        <w:rPr>
          <w:rFonts w:cs="Calibri"/>
          <w:sz w:val="20"/>
          <w:szCs w:val="20"/>
        </w:rPr>
        <w:t xml:space="preserve">. </w:t>
      </w:r>
      <w:r>
        <w:rPr>
          <w:rFonts w:cs="Calibri"/>
          <w:sz w:val="20"/>
          <w:szCs w:val="20"/>
        </w:rPr>
        <w:t>-lnL v</w:t>
      </w:r>
      <w:r w:rsidRPr="0039698B">
        <w:rPr>
          <w:rFonts w:cs="Calibri"/>
          <w:sz w:val="20"/>
          <w:szCs w:val="20"/>
        </w:rPr>
        <w:t xml:space="preserve">alues in bold </w:t>
      </w:r>
      <w:r>
        <w:rPr>
          <w:rFonts w:cs="Calibri"/>
          <w:sz w:val="20"/>
          <w:szCs w:val="20"/>
        </w:rPr>
        <w:t>highlight cases where a better minimum was found than reported in Rademeyer and Butterworth (2010).</w:t>
      </w:r>
      <w:r w:rsidRPr="0039698B">
        <w:rPr>
          <w:rFonts w:cs="Calibri"/>
          <w:sz w:val="20"/>
          <w:szCs w:val="20"/>
        </w:rPr>
        <w:t xml:space="preserve"> </w:t>
      </w:r>
      <w:r w:rsidRPr="007C5B00">
        <w:rPr>
          <w:rFonts w:cs="Calibri"/>
          <w:position w:val="-4"/>
          <w:sz w:val="20"/>
          <w:szCs w:val="20"/>
        </w:rPr>
        <w:object w:dxaOrig="420" w:dyaOrig="300">
          <v:shape id="_x0000_i1031" type="#_x0000_t75" style="width:21pt;height:15pt" o:ole="" fillcolor="window">
            <v:imagedata r:id="rId16" o:title=""/>
          </v:shape>
          <o:OLEObject Type="Embed" ProgID="Equation.3" ShapeID="_x0000_i1031" DrawAspect="Content" ObjectID="_1351586483" r:id="rId17"/>
        </w:object>
      </w:r>
      <w:r>
        <w:rPr>
          <w:rFonts w:cs="Calibri"/>
          <w:sz w:val="20"/>
          <w:szCs w:val="20"/>
        </w:rPr>
        <w:t xml:space="preserve"> </w:t>
      </w:r>
      <w:proofErr w:type="gramStart"/>
      <w:r>
        <w:rPr>
          <w:rFonts w:cs="Calibri"/>
          <w:sz w:val="20"/>
          <w:szCs w:val="20"/>
        </w:rPr>
        <w:t>and</w:t>
      </w:r>
      <w:proofErr w:type="gramEnd"/>
      <w:r>
        <w:rPr>
          <w:rFonts w:cs="Calibri"/>
          <w:sz w:val="20"/>
          <w:szCs w:val="20"/>
        </w:rPr>
        <w:t xml:space="preserve"> </w:t>
      </w:r>
      <w:r w:rsidRPr="007C5B00">
        <w:rPr>
          <w:rFonts w:cs="Calibri"/>
          <w:position w:val="-12"/>
          <w:sz w:val="20"/>
          <w:szCs w:val="20"/>
        </w:rPr>
        <w:object w:dxaOrig="1020" w:dyaOrig="380">
          <v:shape id="_x0000_i1032" type="#_x0000_t75" style="width:51pt;height:19.5pt" o:ole="" fillcolor="window">
            <v:imagedata r:id="rId18" o:title=""/>
          </v:shape>
          <o:OLEObject Type="Embed" ProgID="Equation.3" ShapeID="_x0000_i1032" DrawAspect="Content" ObjectID="_1351586484" r:id="rId19"/>
        </w:object>
      </w:r>
      <w:r w:rsidRPr="0039698B">
        <w:rPr>
          <w:rFonts w:cs="Calibri"/>
          <w:sz w:val="14"/>
          <w:szCs w:val="14"/>
        </w:rPr>
        <w:t xml:space="preserve"> </w:t>
      </w:r>
      <w:r>
        <w:rPr>
          <w:rFonts w:cs="Calibri"/>
          <w:sz w:val="20"/>
          <w:szCs w:val="20"/>
        </w:rPr>
        <w:t>are</w:t>
      </w:r>
      <w:r w:rsidRPr="0039698B">
        <w:rPr>
          <w:rFonts w:cs="Calibri"/>
          <w:sz w:val="20"/>
          <w:szCs w:val="20"/>
        </w:rPr>
        <w:t xml:space="preserve"> for both genders combined, while </w:t>
      </w:r>
      <w:r w:rsidRPr="007C5B00">
        <w:rPr>
          <w:rFonts w:cs="Calibri"/>
          <w:position w:val="-12"/>
          <w:sz w:val="20"/>
          <w:szCs w:val="20"/>
        </w:rPr>
        <w:object w:dxaOrig="1020" w:dyaOrig="380">
          <v:shape id="_x0000_i1033" type="#_x0000_t75" style="width:51pt;height:19.5pt" o:ole="" fillcolor="window">
            <v:imagedata r:id="rId20" o:title=""/>
          </v:shape>
          <o:OLEObject Type="Embed" ProgID="Equation.3" ShapeID="_x0000_i1033" DrawAspect="Content" ObjectID="_1351586485" r:id="rId21"/>
        </w:object>
      </w:r>
      <w:r>
        <w:rPr>
          <w:rFonts w:cs="Calibri"/>
          <w:sz w:val="20"/>
          <w:szCs w:val="20"/>
        </w:rPr>
        <w:t xml:space="preserve"> and </w:t>
      </w:r>
      <w:r w:rsidRPr="007C5B00">
        <w:rPr>
          <w:rFonts w:cs="Calibri"/>
          <w:position w:val="-12"/>
          <w:sz w:val="20"/>
          <w:szCs w:val="20"/>
        </w:rPr>
        <w:object w:dxaOrig="1120" w:dyaOrig="380">
          <v:shape id="_x0000_i1034" type="#_x0000_t75" style="width:54.75pt;height:19.5pt" o:ole="" fillcolor="window">
            <v:imagedata r:id="rId22" o:title=""/>
          </v:shape>
          <o:OLEObject Type="Embed" ProgID="Equation.3" ShapeID="_x0000_i1034" DrawAspect="Content" ObjectID="_1351586486" r:id="rId23"/>
        </w:object>
      </w:r>
      <w:r>
        <w:rPr>
          <w:rFonts w:cs="Calibri"/>
          <w:sz w:val="20"/>
          <w:szCs w:val="20"/>
        </w:rPr>
        <w:t xml:space="preserve"> </w:t>
      </w:r>
      <w:r w:rsidRPr="0039698B">
        <w:rPr>
          <w:rFonts w:cs="Calibri"/>
          <w:sz w:val="20"/>
          <w:szCs w:val="20"/>
        </w:rPr>
        <w:t>are in terms of the female only spawning biomass.</w:t>
      </w:r>
    </w:p>
    <w:p w:rsidR="00635E89" w:rsidRDefault="00164C61">
      <w:pPr>
        <w:rPr>
          <w:rFonts w:cs="Calibri"/>
        </w:rPr>
      </w:pPr>
      <w:r>
        <w:rPr>
          <w:noProof/>
          <w:lang w:val="en-ZA" w:eastAsia="en-ZA"/>
        </w:rPr>
        <w:drawing>
          <wp:anchor distT="0" distB="0" distL="114300" distR="114300" simplePos="0" relativeHeight="251654656" behindDoc="1" locked="0" layoutInCell="1" allowOverlap="1">
            <wp:simplePos x="0" y="0"/>
            <wp:positionH relativeFrom="column">
              <wp:posOffset>19050</wp:posOffset>
            </wp:positionH>
            <wp:positionV relativeFrom="paragraph">
              <wp:posOffset>0</wp:posOffset>
            </wp:positionV>
            <wp:extent cx="5731510" cy="5486400"/>
            <wp:effectExtent l="19050" t="0" r="2540" b="0"/>
            <wp:wrapNone/>
            <wp:docPr id="3"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a:srcRect/>
                    <a:stretch>
                      <a:fillRect/>
                    </a:stretch>
                  </pic:blipFill>
                  <pic:spPr bwMode="auto">
                    <a:xfrm>
                      <a:off x="0" y="0"/>
                      <a:ext cx="5731510" cy="5486400"/>
                    </a:xfrm>
                    <a:prstGeom prst="rect">
                      <a:avLst/>
                    </a:prstGeom>
                    <a:noFill/>
                  </pic:spPr>
                </pic:pic>
              </a:graphicData>
            </a:graphic>
          </wp:anchor>
        </w:drawing>
      </w: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r>
        <w:rPr>
          <w:rFonts w:cs="Calibri"/>
        </w:rPr>
        <w:br w:type="page"/>
      </w:r>
    </w:p>
    <w:p w:rsidR="00635E89" w:rsidRDefault="00635E89">
      <w:pPr>
        <w:rPr>
          <w:rFonts w:cs="Calibri"/>
        </w:rPr>
      </w:pPr>
      <w:r>
        <w:rPr>
          <w:rFonts w:cs="Calibri"/>
        </w:rPr>
        <w:lastRenderedPageBreak/>
        <w:t>Table 3: For each contribution to the total negative log-likelihood (-lnL), differences in -lnL compared to the Reference Case (RS1).</w:t>
      </w:r>
    </w:p>
    <w:p w:rsidR="00635E89" w:rsidRDefault="00164C61">
      <w:pPr>
        <w:rPr>
          <w:rFonts w:cs="Calibri"/>
        </w:rPr>
      </w:pPr>
      <w:r>
        <w:rPr>
          <w:noProof/>
          <w:lang w:val="en-ZA" w:eastAsia="en-ZA"/>
        </w:rPr>
        <w:drawing>
          <wp:anchor distT="0" distB="0" distL="114300" distR="114300" simplePos="0" relativeHeight="251655680" behindDoc="1" locked="0" layoutInCell="1" allowOverlap="1">
            <wp:simplePos x="0" y="0"/>
            <wp:positionH relativeFrom="column">
              <wp:posOffset>19050</wp:posOffset>
            </wp:positionH>
            <wp:positionV relativeFrom="paragraph">
              <wp:posOffset>1270</wp:posOffset>
            </wp:positionV>
            <wp:extent cx="5731510" cy="5455920"/>
            <wp:effectExtent l="19050" t="0" r="2540" b="0"/>
            <wp:wrapNone/>
            <wp:docPr id="4"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5"/>
                    <a:srcRect/>
                    <a:stretch>
                      <a:fillRect/>
                    </a:stretch>
                  </pic:blipFill>
                  <pic:spPr bwMode="auto">
                    <a:xfrm>
                      <a:off x="0" y="0"/>
                      <a:ext cx="5731510" cy="5455920"/>
                    </a:xfrm>
                    <a:prstGeom prst="rect">
                      <a:avLst/>
                    </a:prstGeom>
                    <a:noFill/>
                  </pic:spPr>
                </pic:pic>
              </a:graphicData>
            </a:graphic>
          </wp:anchor>
        </w:drawing>
      </w: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pPr>
        <w:rPr>
          <w:rFonts w:cs="Calibri"/>
        </w:rPr>
      </w:pPr>
    </w:p>
    <w:p w:rsidR="00635E89" w:rsidRDefault="00635E89" w:rsidP="00C75682">
      <w:pPr>
        <w:rPr>
          <w:rFonts w:cs="Calibri"/>
          <w:sz w:val="20"/>
          <w:szCs w:val="20"/>
        </w:rPr>
      </w:pPr>
    </w:p>
    <w:p w:rsidR="00635E89" w:rsidRPr="0039698B" w:rsidRDefault="00635E89" w:rsidP="00F729A7">
      <w:pPr>
        <w:rPr>
          <w:rFonts w:cs="Calibri"/>
          <w:sz w:val="20"/>
          <w:szCs w:val="20"/>
        </w:rPr>
      </w:pPr>
      <w:r>
        <w:rPr>
          <w:rFonts w:cs="Calibri"/>
          <w:sz w:val="20"/>
          <w:szCs w:val="20"/>
        </w:rPr>
        <w:br w:type="page"/>
      </w:r>
      <w:r w:rsidRPr="0039698B">
        <w:rPr>
          <w:rFonts w:cs="Calibri"/>
          <w:sz w:val="20"/>
          <w:szCs w:val="20"/>
        </w:rPr>
        <w:lastRenderedPageBreak/>
        <w:t xml:space="preserve">Table </w:t>
      </w:r>
      <w:r>
        <w:rPr>
          <w:rFonts w:cs="Calibri"/>
          <w:sz w:val="20"/>
          <w:szCs w:val="20"/>
        </w:rPr>
        <w:t>4</w:t>
      </w:r>
      <w:r w:rsidRPr="0039698B">
        <w:rPr>
          <w:rFonts w:cs="Calibri"/>
          <w:sz w:val="20"/>
          <w:szCs w:val="20"/>
        </w:rPr>
        <w:t>: Estimate</w:t>
      </w:r>
      <w:r>
        <w:rPr>
          <w:rFonts w:cs="Calibri"/>
          <w:sz w:val="20"/>
          <w:szCs w:val="20"/>
        </w:rPr>
        <w:t>s of management quantities for</w:t>
      </w:r>
      <w:r w:rsidRPr="0039698B">
        <w:rPr>
          <w:rFonts w:cs="Calibri"/>
          <w:sz w:val="20"/>
          <w:szCs w:val="20"/>
        </w:rPr>
        <w:t xml:space="preserve"> RS</w:t>
      </w:r>
      <w:r>
        <w:rPr>
          <w:rFonts w:cs="Calibri"/>
          <w:sz w:val="20"/>
          <w:szCs w:val="20"/>
        </w:rPr>
        <w:t>11 and three robustness tests based on this OM</w:t>
      </w:r>
      <w:r w:rsidRPr="0039698B">
        <w:rPr>
          <w:rFonts w:cs="Calibri"/>
          <w:sz w:val="20"/>
          <w:szCs w:val="20"/>
        </w:rPr>
        <w:t xml:space="preserve">. </w:t>
      </w:r>
      <w:r w:rsidRPr="007C5B00">
        <w:rPr>
          <w:rFonts w:cs="Calibri"/>
          <w:position w:val="-4"/>
          <w:sz w:val="20"/>
          <w:szCs w:val="20"/>
        </w:rPr>
        <w:object w:dxaOrig="420" w:dyaOrig="300">
          <v:shape id="_x0000_i1035" type="#_x0000_t75" style="width:21pt;height:15pt" o:ole="" fillcolor="window">
            <v:imagedata r:id="rId16" o:title=""/>
          </v:shape>
          <o:OLEObject Type="Embed" ProgID="Equation.3" ShapeID="_x0000_i1035" DrawAspect="Content" ObjectID="_1351586487" r:id="rId26"/>
        </w:object>
      </w:r>
      <w:r>
        <w:rPr>
          <w:rFonts w:cs="Calibri"/>
          <w:sz w:val="20"/>
          <w:szCs w:val="20"/>
        </w:rPr>
        <w:t xml:space="preserve"> and </w:t>
      </w:r>
      <w:r w:rsidRPr="007C5B00">
        <w:rPr>
          <w:rFonts w:cs="Calibri"/>
          <w:position w:val="-12"/>
          <w:sz w:val="20"/>
          <w:szCs w:val="20"/>
        </w:rPr>
        <w:object w:dxaOrig="1020" w:dyaOrig="380">
          <v:shape id="_x0000_i1036" type="#_x0000_t75" style="width:51pt;height:19.5pt" o:ole="" fillcolor="window">
            <v:imagedata r:id="rId18" o:title=""/>
          </v:shape>
          <o:OLEObject Type="Embed" ProgID="Equation.3" ShapeID="_x0000_i1036" DrawAspect="Content" ObjectID="_1351586488" r:id="rId27"/>
        </w:object>
      </w:r>
      <w:r w:rsidRPr="0039698B">
        <w:rPr>
          <w:rFonts w:cs="Calibri"/>
          <w:sz w:val="14"/>
          <w:szCs w:val="14"/>
        </w:rPr>
        <w:t xml:space="preserve"> </w:t>
      </w:r>
      <w:r>
        <w:rPr>
          <w:rFonts w:cs="Calibri"/>
          <w:sz w:val="20"/>
          <w:szCs w:val="20"/>
        </w:rPr>
        <w:t>are</w:t>
      </w:r>
      <w:r w:rsidRPr="0039698B">
        <w:rPr>
          <w:rFonts w:cs="Calibri"/>
          <w:sz w:val="20"/>
          <w:szCs w:val="20"/>
        </w:rPr>
        <w:t xml:space="preserve"> for both genders combined, while </w:t>
      </w:r>
      <w:r w:rsidRPr="007C5B00">
        <w:rPr>
          <w:rFonts w:cs="Calibri"/>
          <w:position w:val="-12"/>
          <w:sz w:val="20"/>
          <w:szCs w:val="20"/>
        </w:rPr>
        <w:object w:dxaOrig="1020" w:dyaOrig="380">
          <v:shape id="_x0000_i1037" type="#_x0000_t75" style="width:51pt;height:19.5pt" o:ole="" fillcolor="window">
            <v:imagedata r:id="rId20" o:title=""/>
          </v:shape>
          <o:OLEObject Type="Embed" ProgID="Equation.3" ShapeID="_x0000_i1037" DrawAspect="Content" ObjectID="_1351586489" r:id="rId28"/>
        </w:object>
      </w:r>
      <w:r>
        <w:rPr>
          <w:rFonts w:cs="Calibri"/>
          <w:sz w:val="20"/>
          <w:szCs w:val="20"/>
        </w:rPr>
        <w:t xml:space="preserve"> and </w:t>
      </w:r>
      <w:r w:rsidRPr="007C5B00">
        <w:rPr>
          <w:rFonts w:cs="Calibri"/>
          <w:position w:val="-12"/>
          <w:sz w:val="20"/>
          <w:szCs w:val="20"/>
        </w:rPr>
        <w:object w:dxaOrig="1120" w:dyaOrig="380">
          <v:shape id="_x0000_i1038" type="#_x0000_t75" style="width:54.75pt;height:19.5pt" o:ole="" fillcolor="window">
            <v:imagedata r:id="rId22" o:title=""/>
          </v:shape>
          <o:OLEObject Type="Embed" ProgID="Equation.3" ShapeID="_x0000_i1038" DrawAspect="Content" ObjectID="_1351586490" r:id="rId29"/>
        </w:object>
      </w:r>
      <w:r>
        <w:rPr>
          <w:rFonts w:cs="Calibri"/>
          <w:sz w:val="20"/>
          <w:szCs w:val="20"/>
        </w:rPr>
        <w:t xml:space="preserve"> </w:t>
      </w:r>
      <w:r w:rsidRPr="0039698B">
        <w:rPr>
          <w:rFonts w:cs="Calibri"/>
          <w:sz w:val="20"/>
          <w:szCs w:val="20"/>
        </w:rPr>
        <w:t>are in terms of the female only spawning biomass.</w:t>
      </w:r>
    </w:p>
    <w:p w:rsidR="00635E89" w:rsidRPr="0039698B" w:rsidRDefault="00164C61" w:rsidP="00F729A7">
      <w:pPr>
        <w:rPr>
          <w:rFonts w:cs="Calibri"/>
          <w:sz w:val="20"/>
          <w:szCs w:val="20"/>
        </w:rPr>
      </w:pPr>
      <w:r>
        <w:rPr>
          <w:noProof/>
          <w:lang w:val="en-ZA" w:eastAsia="en-ZA"/>
        </w:rPr>
        <w:drawing>
          <wp:anchor distT="0" distB="0" distL="114300" distR="114300" simplePos="0" relativeHeight="251659776" behindDoc="1" locked="0" layoutInCell="1" allowOverlap="1">
            <wp:simplePos x="0" y="0"/>
            <wp:positionH relativeFrom="column">
              <wp:posOffset>0</wp:posOffset>
            </wp:positionH>
            <wp:positionV relativeFrom="paragraph">
              <wp:posOffset>-106680</wp:posOffset>
            </wp:positionV>
            <wp:extent cx="5730240" cy="1021080"/>
            <wp:effectExtent l="19050" t="0" r="381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srcRect/>
                    <a:stretch>
                      <a:fillRect/>
                    </a:stretch>
                  </pic:blipFill>
                  <pic:spPr bwMode="auto">
                    <a:xfrm>
                      <a:off x="0" y="0"/>
                      <a:ext cx="5730240" cy="1021080"/>
                    </a:xfrm>
                    <a:prstGeom prst="rect">
                      <a:avLst/>
                    </a:prstGeom>
                    <a:noFill/>
                  </pic:spPr>
                </pic:pic>
              </a:graphicData>
            </a:graphic>
          </wp:anchor>
        </w:drawing>
      </w: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164C61" w:rsidP="00F729A7">
      <w:pPr>
        <w:rPr>
          <w:rFonts w:cs="Calibri"/>
        </w:rPr>
      </w:pPr>
      <w:r>
        <w:rPr>
          <w:noProof/>
          <w:lang w:val="en-ZA" w:eastAsia="en-ZA"/>
        </w:rPr>
        <w:drawing>
          <wp:anchor distT="0" distB="0" distL="114300" distR="114300" simplePos="0" relativeHeight="251660800" behindDoc="1" locked="0" layoutInCell="1" allowOverlap="1">
            <wp:simplePos x="0" y="0"/>
            <wp:positionH relativeFrom="column">
              <wp:posOffset>0</wp:posOffset>
            </wp:positionH>
            <wp:positionV relativeFrom="paragraph">
              <wp:posOffset>427990</wp:posOffset>
            </wp:positionV>
            <wp:extent cx="5722620" cy="94488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srcRect/>
                    <a:stretch>
                      <a:fillRect/>
                    </a:stretch>
                  </pic:blipFill>
                  <pic:spPr bwMode="auto">
                    <a:xfrm>
                      <a:off x="0" y="0"/>
                      <a:ext cx="5722620" cy="944880"/>
                    </a:xfrm>
                    <a:prstGeom prst="rect">
                      <a:avLst/>
                    </a:prstGeom>
                    <a:noFill/>
                  </pic:spPr>
                </pic:pic>
              </a:graphicData>
            </a:graphic>
          </wp:anchor>
        </w:drawing>
      </w:r>
      <w:r w:rsidR="00635E89">
        <w:rPr>
          <w:rFonts w:cs="Calibri"/>
        </w:rPr>
        <w:t>Table 5: For each contribution to the total negative log-likelihood (-lnL), differences in -lnL compared to RS11.</w:t>
      </w: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p>
    <w:p w:rsidR="00635E89" w:rsidRDefault="00635E89" w:rsidP="00C75682">
      <w:pPr>
        <w:rPr>
          <w:rFonts w:cs="Calibri"/>
          <w:sz w:val="20"/>
          <w:szCs w:val="20"/>
        </w:rPr>
      </w:pPr>
      <w:r>
        <w:rPr>
          <w:rFonts w:cs="Calibri"/>
          <w:sz w:val="20"/>
          <w:szCs w:val="20"/>
        </w:rPr>
        <w:br w:type="page"/>
      </w:r>
    </w:p>
    <w:p w:rsidR="00635E89" w:rsidRPr="00B113EC" w:rsidRDefault="00164C61" w:rsidP="0010486B">
      <w:pPr>
        <w:pStyle w:val="BodyTextIndent"/>
        <w:spacing w:before="120" w:after="0"/>
        <w:ind w:left="720" w:hanging="720"/>
        <w:jc w:val="both"/>
        <w:rPr>
          <w:sz w:val="20"/>
          <w:szCs w:val="20"/>
          <w:lang w:val="en-ZA"/>
        </w:rPr>
      </w:pPr>
      <w:r>
        <w:rPr>
          <w:noProof/>
          <w:lang w:val="en-ZA" w:eastAsia="en-ZA"/>
        </w:rPr>
        <w:lastRenderedPageBreak/>
        <w:drawing>
          <wp:anchor distT="0" distB="0" distL="114300" distR="114300" simplePos="0" relativeHeight="251652608" behindDoc="1" locked="0" layoutInCell="1" allowOverlap="1">
            <wp:simplePos x="0" y="0"/>
            <wp:positionH relativeFrom="column">
              <wp:posOffset>-26670</wp:posOffset>
            </wp:positionH>
            <wp:positionV relativeFrom="paragraph">
              <wp:posOffset>118110</wp:posOffset>
            </wp:positionV>
            <wp:extent cx="5731510" cy="7056120"/>
            <wp:effectExtent l="19050" t="0" r="2540" b="0"/>
            <wp:wrapNone/>
            <wp:docPr id="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srcRect/>
                    <a:stretch>
                      <a:fillRect/>
                    </a:stretch>
                  </pic:blipFill>
                  <pic:spPr bwMode="auto">
                    <a:xfrm>
                      <a:off x="0" y="0"/>
                      <a:ext cx="5731510" cy="7056120"/>
                    </a:xfrm>
                    <a:prstGeom prst="rect">
                      <a:avLst/>
                    </a:prstGeom>
                    <a:noFill/>
                  </pic:spPr>
                </pic:pic>
              </a:graphicData>
            </a:graphic>
          </wp:anchor>
        </w:drawing>
      </w:r>
    </w:p>
    <w:p w:rsidR="00635E89" w:rsidRPr="0010486B" w:rsidRDefault="00635E89">
      <w:pPr>
        <w:rPr>
          <w:rFonts w:cs="Calibri"/>
          <w:sz w:val="20"/>
          <w:szCs w:val="20"/>
          <w:lang w:val="en-ZA"/>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Pr="000D4049" w:rsidRDefault="00635E89" w:rsidP="00E7654C">
      <w:pPr>
        <w:rPr>
          <w:sz w:val="20"/>
          <w:szCs w:val="20"/>
          <w:lang w:val="en-ZA"/>
        </w:rPr>
      </w:pPr>
      <w:r>
        <w:rPr>
          <w:rFonts w:cs="Calibri"/>
          <w:sz w:val="20"/>
          <w:szCs w:val="20"/>
        </w:rPr>
        <w:t>Fig. 1:</w:t>
      </w:r>
      <w:r>
        <w:rPr>
          <w:sz w:val="20"/>
          <w:szCs w:val="20"/>
          <w:lang w:val="en-ZA"/>
        </w:rPr>
        <w:t xml:space="preserve"> Estimated gender-aggregated spawning biomass trajectories for </w:t>
      </w:r>
      <w:r w:rsidRPr="000D4049">
        <w:rPr>
          <w:i/>
          <w:sz w:val="20"/>
          <w:szCs w:val="20"/>
          <w:lang w:val="en-ZA"/>
        </w:rPr>
        <w:t>M. paradoxus</w:t>
      </w:r>
      <w:r>
        <w:rPr>
          <w:sz w:val="20"/>
          <w:szCs w:val="20"/>
          <w:lang w:val="en-ZA"/>
        </w:rPr>
        <w:t xml:space="preserve"> and </w:t>
      </w:r>
      <w:r w:rsidRPr="000D4049">
        <w:rPr>
          <w:i/>
          <w:sz w:val="20"/>
          <w:szCs w:val="20"/>
          <w:lang w:val="en-ZA"/>
        </w:rPr>
        <w:t>M. capensis</w:t>
      </w:r>
      <w:r>
        <w:rPr>
          <w:sz w:val="20"/>
          <w:szCs w:val="20"/>
          <w:lang w:val="en-ZA"/>
        </w:rPr>
        <w:t>, relative to pre-exploitation levels, for the RC (RS1) and robustness tests Rob1-Rob29.</w:t>
      </w:r>
    </w:p>
    <w:p w:rsidR="00635E89" w:rsidRPr="00E7654C" w:rsidRDefault="00635E89">
      <w:pPr>
        <w:rPr>
          <w:rFonts w:cs="Calibri"/>
          <w:sz w:val="20"/>
          <w:szCs w:val="20"/>
          <w:lang w:val="en-ZA"/>
        </w:rPr>
      </w:pPr>
    </w:p>
    <w:p w:rsidR="00635E89" w:rsidRDefault="00635E89">
      <w:pPr>
        <w:rPr>
          <w:rFonts w:cs="Calibri"/>
          <w:sz w:val="20"/>
          <w:szCs w:val="20"/>
        </w:rPr>
      </w:pPr>
    </w:p>
    <w:p w:rsidR="00635E89" w:rsidRDefault="00635E89">
      <w:pPr>
        <w:rPr>
          <w:rFonts w:cs="Calibri"/>
          <w:sz w:val="20"/>
          <w:szCs w:val="20"/>
        </w:rPr>
      </w:pPr>
    </w:p>
    <w:p w:rsidR="00635E89" w:rsidRPr="0010486B" w:rsidRDefault="00164C61">
      <w:pPr>
        <w:rPr>
          <w:rFonts w:cs="Calibri"/>
          <w:sz w:val="20"/>
          <w:szCs w:val="20"/>
        </w:rPr>
      </w:pPr>
      <w:r>
        <w:rPr>
          <w:noProof/>
          <w:lang w:val="en-ZA" w:eastAsia="en-ZA"/>
        </w:rPr>
        <w:lastRenderedPageBreak/>
        <w:drawing>
          <wp:anchor distT="0" distB="0" distL="114300" distR="114300" simplePos="0" relativeHeight="251653632" behindDoc="1" locked="0" layoutInCell="1" allowOverlap="1">
            <wp:simplePos x="0" y="0"/>
            <wp:positionH relativeFrom="column">
              <wp:posOffset>19050</wp:posOffset>
            </wp:positionH>
            <wp:positionV relativeFrom="paragraph">
              <wp:posOffset>-635</wp:posOffset>
            </wp:positionV>
            <wp:extent cx="5731510" cy="7056120"/>
            <wp:effectExtent l="19050" t="0" r="2540" b="0"/>
            <wp:wrapNone/>
            <wp:docPr id="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srcRect/>
                    <a:stretch>
                      <a:fillRect/>
                    </a:stretch>
                  </pic:blipFill>
                  <pic:spPr bwMode="auto">
                    <a:xfrm>
                      <a:off x="0" y="0"/>
                      <a:ext cx="5731510" cy="7056120"/>
                    </a:xfrm>
                    <a:prstGeom prst="rect">
                      <a:avLst/>
                    </a:prstGeom>
                    <a:noFill/>
                  </pic:spPr>
                </pic:pic>
              </a:graphicData>
            </a:graphic>
          </wp:anchor>
        </w:drawing>
      </w: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Pr="0010486B"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rsidP="00E7654C">
      <w:pPr>
        <w:rPr>
          <w:rFonts w:cs="Calibri"/>
          <w:sz w:val="20"/>
          <w:szCs w:val="20"/>
        </w:rPr>
      </w:pPr>
    </w:p>
    <w:p w:rsidR="00635E89" w:rsidRPr="0010486B" w:rsidRDefault="00635E89" w:rsidP="00E7654C">
      <w:pPr>
        <w:rPr>
          <w:sz w:val="20"/>
          <w:szCs w:val="20"/>
          <w:lang w:val="en-ZA"/>
        </w:rPr>
      </w:pPr>
      <w:r>
        <w:rPr>
          <w:rFonts w:cs="Calibri"/>
          <w:sz w:val="20"/>
          <w:szCs w:val="20"/>
        </w:rPr>
        <w:t>Fig. 1</w:t>
      </w:r>
      <w:r w:rsidRPr="0010486B">
        <w:rPr>
          <w:rFonts w:cs="Calibri"/>
          <w:sz w:val="20"/>
          <w:szCs w:val="20"/>
        </w:rPr>
        <w:t>: continued</w:t>
      </w:r>
    </w:p>
    <w:p w:rsidR="00635E89" w:rsidRDefault="00635E89">
      <w:pPr>
        <w:rPr>
          <w:rFonts w:cs="Calibri"/>
          <w:sz w:val="20"/>
          <w:szCs w:val="20"/>
        </w:rPr>
      </w:pPr>
    </w:p>
    <w:p w:rsidR="00635E89" w:rsidRDefault="00635E89">
      <w:pPr>
        <w:rPr>
          <w:rFonts w:cs="Calibri"/>
          <w:sz w:val="20"/>
          <w:szCs w:val="20"/>
        </w:rPr>
      </w:pPr>
      <w:r>
        <w:rPr>
          <w:rFonts w:cs="Calibri"/>
          <w:sz w:val="20"/>
          <w:szCs w:val="20"/>
        </w:rPr>
        <w:br w:type="page"/>
      </w:r>
    </w:p>
    <w:p w:rsidR="00635E89" w:rsidRDefault="00164C61">
      <w:pPr>
        <w:rPr>
          <w:rFonts w:cs="Calibri"/>
          <w:sz w:val="20"/>
          <w:szCs w:val="20"/>
        </w:rPr>
      </w:pPr>
      <w:r>
        <w:rPr>
          <w:noProof/>
          <w:lang w:val="en-ZA" w:eastAsia="en-ZA"/>
        </w:rPr>
        <w:lastRenderedPageBreak/>
        <w:drawing>
          <wp:anchor distT="0" distB="0" distL="114300" distR="114300" simplePos="0" relativeHeight="251658752" behindDoc="1" locked="0" layoutInCell="1" allowOverlap="1">
            <wp:simplePos x="0" y="0"/>
            <wp:positionH relativeFrom="column">
              <wp:posOffset>4445</wp:posOffset>
            </wp:positionH>
            <wp:positionV relativeFrom="paragraph">
              <wp:posOffset>137160</wp:posOffset>
            </wp:positionV>
            <wp:extent cx="5722620" cy="641604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srcRect/>
                    <a:stretch>
                      <a:fillRect/>
                    </a:stretch>
                  </pic:blipFill>
                  <pic:spPr bwMode="auto">
                    <a:xfrm>
                      <a:off x="0" y="0"/>
                      <a:ext cx="5722620" cy="6416040"/>
                    </a:xfrm>
                    <a:prstGeom prst="rect">
                      <a:avLst/>
                    </a:prstGeom>
                    <a:noFill/>
                  </pic:spPr>
                </pic:pic>
              </a:graphicData>
            </a:graphic>
          </wp:anchor>
        </w:drawing>
      </w: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pPr>
        <w:rPr>
          <w:rFonts w:cs="Calibri"/>
          <w:sz w:val="20"/>
          <w:szCs w:val="20"/>
        </w:rPr>
      </w:pPr>
    </w:p>
    <w:p w:rsidR="00635E89" w:rsidRDefault="00635E89" w:rsidP="00FF6A65">
      <w:pPr>
        <w:jc w:val="both"/>
        <w:rPr>
          <w:rFonts w:cs="Calibri"/>
          <w:sz w:val="20"/>
          <w:szCs w:val="20"/>
        </w:rPr>
      </w:pPr>
      <w:r>
        <w:t xml:space="preserve">Fig. 2a: </w:t>
      </w:r>
      <w:r w:rsidRPr="00FF6A65">
        <w:t>Three performance statistics (</w:t>
      </w:r>
      <w:r w:rsidRPr="00FF6A65">
        <w:rPr>
          <w:position w:val="-12"/>
        </w:rPr>
        <w:object w:dxaOrig="1120" w:dyaOrig="380">
          <v:shape id="_x0000_i1039" type="#_x0000_t75" style="width:54.75pt;height:19.5pt" o:ole="">
            <v:imagedata r:id="rId6" o:title=""/>
          </v:shape>
          <o:OLEObject Type="Embed" ProgID="Equation.3" ShapeID="_x0000_i1039" DrawAspect="Content" ObjectID="_1351586491" r:id="rId35"/>
        </w:object>
      </w:r>
      <w:r w:rsidRPr="00FF6A65">
        <w:t>,</w:t>
      </w:r>
      <w:r w:rsidRPr="00FF6A65">
        <w:rPr>
          <w:position w:val="-14"/>
        </w:rPr>
        <w:object w:dxaOrig="1020" w:dyaOrig="400">
          <v:shape id="_x0000_i1040" type="#_x0000_t75" style="width:51pt;height:19.5pt" o:ole="">
            <v:imagedata r:id="rId8" o:title=""/>
          </v:shape>
          <o:OLEObject Type="Embed" ProgID="Equation.3" ShapeID="_x0000_i1040" DrawAspect="Content" ObjectID="_1351586492" r:id="rId36"/>
        </w:object>
      </w:r>
      <w:r w:rsidRPr="00FF6A65">
        <w:t xml:space="preserve"> </w:t>
      </w:r>
      <w:proofErr w:type="gramStart"/>
      <w:r w:rsidRPr="00FF6A65">
        <w:t xml:space="preserve">and </w:t>
      </w:r>
      <w:proofErr w:type="gramEnd"/>
      <w:r w:rsidRPr="00FF6A65">
        <w:rPr>
          <w:position w:val="-12"/>
        </w:rPr>
        <w:object w:dxaOrig="1120" w:dyaOrig="380">
          <v:shape id="_x0000_i1041" type="#_x0000_t75" style="width:54.75pt;height:19.5pt" o:ole="">
            <v:imagedata r:id="rId10" o:title=""/>
          </v:shape>
          <o:OLEObject Type="Embed" ProgID="Equation.3" ShapeID="_x0000_i1041" DrawAspect="Content" ObjectID="_1351586493" r:id="rId37"/>
        </w:object>
      </w:r>
      <w:r w:rsidRPr="00FF6A65">
        <w:t xml:space="preserve">, in terms of female biomass only) for </w:t>
      </w:r>
      <w:r w:rsidRPr="00FF6A65">
        <w:rPr>
          <w:b/>
          <w:i/>
        </w:rPr>
        <w:t>M. paradoxus</w:t>
      </w:r>
      <w:r w:rsidRPr="00FF6A65">
        <w:t xml:space="preserve"> for the </w:t>
      </w:r>
      <w:r>
        <w:t xml:space="preserve">full set of </w:t>
      </w:r>
      <w:r w:rsidRPr="00FF6A65">
        <w:t xml:space="preserve">RS and robustness tests under a projected constant catch of </w:t>
      </w:r>
      <w:r w:rsidRPr="00FF6A65">
        <w:rPr>
          <w:b/>
        </w:rPr>
        <w:t>150 000</w:t>
      </w:r>
      <w:r>
        <w:rPr>
          <w:b/>
        </w:rPr>
        <w:t>t</w:t>
      </w:r>
      <w:r w:rsidRPr="00FF6A65">
        <w:t>.</w:t>
      </w:r>
      <w:r w:rsidRPr="00CA3FB7">
        <w:rPr>
          <w:rFonts w:cs="Calibri"/>
          <w:sz w:val="20"/>
          <w:szCs w:val="20"/>
        </w:rPr>
        <w:t xml:space="preserve"> </w:t>
      </w:r>
      <w:r>
        <w:rPr>
          <w:rFonts w:cs="Calibri"/>
          <w:sz w:val="20"/>
          <w:szCs w:val="20"/>
        </w:rPr>
        <w:t>In some instance, the statistics are outside the area covered by the plot.</w:t>
      </w: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164C61" w:rsidP="00FF6A65">
      <w:pPr>
        <w:rPr>
          <w:rFonts w:cs="Calibri"/>
          <w:sz w:val="20"/>
          <w:szCs w:val="20"/>
        </w:rPr>
      </w:pPr>
      <w:r>
        <w:rPr>
          <w:noProof/>
          <w:lang w:val="en-ZA" w:eastAsia="en-ZA"/>
        </w:rPr>
        <w:drawing>
          <wp:anchor distT="0" distB="0" distL="114300" distR="114300" simplePos="0" relativeHeight="251657728" behindDoc="1" locked="0" layoutInCell="1" allowOverlap="1">
            <wp:simplePos x="0" y="0"/>
            <wp:positionH relativeFrom="column">
              <wp:posOffset>-48895</wp:posOffset>
            </wp:positionH>
            <wp:positionV relativeFrom="paragraph">
              <wp:posOffset>159385</wp:posOffset>
            </wp:positionV>
            <wp:extent cx="5722620" cy="641604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srcRect/>
                    <a:stretch>
                      <a:fillRect/>
                    </a:stretch>
                  </pic:blipFill>
                  <pic:spPr bwMode="auto">
                    <a:xfrm>
                      <a:off x="0" y="0"/>
                      <a:ext cx="5722620" cy="6416040"/>
                    </a:xfrm>
                    <a:prstGeom prst="rect">
                      <a:avLst/>
                    </a:prstGeom>
                    <a:noFill/>
                  </pic:spPr>
                </pic:pic>
              </a:graphicData>
            </a:graphic>
          </wp:anchor>
        </w:drawing>
      </w: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rPr>
          <w:rFonts w:cs="Calibri"/>
          <w:sz w:val="20"/>
          <w:szCs w:val="20"/>
        </w:rPr>
      </w:pPr>
    </w:p>
    <w:p w:rsidR="00635E89" w:rsidRDefault="00635E89" w:rsidP="00FF6A65">
      <w:pPr>
        <w:jc w:val="both"/>
        <w:rPr>
          <w:rFonts w:cs="Calibri"/>
          <w:sz w:val="20"/>
          <w:szCs w:val="20"/>
        </w:rPr>
      </w:pPr>
      <w:r>
        <w:t xml:space="preserve">Fig. 2b: </w:t>
      </w:r>
      <w:r w:rsidRPr="00FF6A65">
        <w:t>Three performance statistics (</w:t>
      </w:r>
      <w:r w:rsidRPr="00FF6A65">
        <w:rPr>
          <w:position w:val="-12"/>
        </w:rPr>
        <w:object w:dxaOrig="1120" w:dyaOrig="380">
          <v:shape id="_x0000_i1042" type="#_x0000_t75" style="width:54.75pt;height:19.5pt" o:ole="">
            <v:imagedata r:id="rId6" o:title=""/>
          </v:shape>
          <o:OLEObject Type="Embed" ProgID="Equation.3" ShapeID="_x0000_i1042" DrawAspect="Content" ObjectID="_1351586494" r:id="rId39"/>
        </w:object>
      </w:r>
      <w:r w:rsidRPr="00FF6A65">
        <w:t>,</w:t>
      </w:r>
      <w:r w:rsidRPr="00FF6A65">
        <w:rPr>
          <w:position w:val="-14"/>
        </w:rPr>
        <w:object w:dxaOrig="1020" w:dyaOrig="400">
          <v:shape id="_x0000_i1043" type="#_x0000_t75" style="width:51pt;height:19.5pt" o:ole="">
            <v:imagedata r:id="rId8" o:title=""/>
          </v:shape>
          <o:OLEObject Type="Embed" ProgID="Equation.3" ShapeID="_x0000_i1043" DrawAspect="Content" ObjectID="_1351586495" r:id="rId40"/>
        </w:object>
      </w:r>
      <w:r w:rsidRPr="00FF6A65">
        <w:t xml:space="preserve"> </w:t>
      </w:r>
      <w:proofErr w:type="gramStart"/>
      <w:r w:rsidRPr="00FF6A65">
        <w:t xml:space="preserve">and </w:t>
      </w:r>
      <w:proofErr w:type="gramEnd"/>
      <w:r w:rsidRPr="00FF6A65">
        <w:rPr>
          <w:position w:val="-12"/>
        </w:rPr>
        <w:object w:dxaOrig="1120" w:dyaOrig="380">
          <v:shape id="_x0000_i1044" type="#_x0000_t75" style="width:54.75pt;height:19.5pt" o:ole="">
            <v:imagedata r:id="rId10" o:title=""/>
          </v:shape>
          <o:OLEObject Type="Embed" ProgID="Equation.3" ShapeID="_x0000_i1044" DrawAspect="Content" ObjectID="_1351586496" r:id="rId41"/>
        </w:object>
      </w:r>
      <w:r w:rsidRPr="00FF6A65">
        <w:t xml:space="preserve">, in terms of female biomass only) for </w:t>
      </w:r>
      <w:r w:rsidRPr="00FF6A65">
        <w:rPr>
          <w:b/>
          <w:i/>
        </w:rPr>
        <w:t xml:space="preserve">M. </w:t>
      </w:r>
      <w:r>
        <w:rPr>
          <w:b/>
          <w:i/>
        </w:rPr>
        <w:t>capensis</w:t>
      </w:r>
      <w:r w:rsidRPr="00FF6A65">
        <w:t xml:space="preserve"> for the </w:t>
      </w:r>
      <w:r>
        <w:t xml:space="preserve">full set of </w:t>
      </w:r>
      <w:r w:rsidRPr="00FF6A65">
        <w:t xml:space="preserve">RS and robustness tests under a projected constant catch of </w:t>
      </w:r>
      <w:r w:rsidRPr="00FF6A65">
        <w:rPr>
          <w:b/>
        </w:rPr>
        <w:t>150 000</w:t>
      </w:r>
      <w:r>
        <w:rPr>
          <w:b/>
        </w:rPr>
        <w:t>t</w:t>
      </w:r>
      <w:r w:rsidRPr="00FF6A65">
        <w:t>.</w:t>
      </w:r>
      <w:r w:rsidRPr="00CA3FB7">
        <w:rPr>
          <w:rFonts w:cs="Calibri"/>
          <w:sz w:val="20"/>
          <w:szCs w:val="20"/>
        </w:rPr>
        <w:t xml:space="preserve"> </w:t>
      </w:r>
      <w:r>
        <w:rPr>
          <w:rFonts w:cs="Calibri"/>
          <w:sz w:val="20"/>
          <w:szCs w:val="20"/>
        </w:rPr>
        <w:t>In some instance, the statistics are outside the area covered by the plot.</w:t>
      </w:r>
    </w:p>
    <w:p w:rsidR="00635E89" w:rsidRDefault="00635E89" w:rsidP="00FF6A65">
      <w:pPr>
        <w:jc w:val="both"/>
        <w:rPr>
          <w:rFonts w:cs="Calibri"/>
          <w:sz w:val="20"/>
          <w:szCs w:val="20"/>
        </w:rPr>
      </w:pPr>
      <w:r>
        <w:rPr>
          <w:rFonts w:cs="Calibri"/>
          <w:sz w:val="20"/>
          <w:szCs w:val="20"/>
        </w:rPr>
        <w:br w:type="page"/>
      </w:r>
      <w:r w:rsidR="00164C61">
        <w:rPr>
          <w:noProof/>
          <w:lang w:val="en-ZA" w:eastAsia="en-ZA"/>
        </w:rPr>
        <w:drawing>
          <wp:anchor distT="0" distB="0" distL="114300" distR="114300" simplePos="0" relativeHeight="251661824" behindDoc="1" locked="0" layoutInCell="1" allowOverlap="1">
            <wp:simplePos x="0" y="0"/>
            <wp:positionH relativeFrom="column">
              <wp:align>center</wp:align>
            </wp:positionH>
            <wp:positionV relativeFrom="paragraph">
              <wp:posOffset>-6985</wp:posOffset>
            </wp:positionV>
            <wp:extent cx="5730240" cy="1965960"/>
            <wp:effectExtent l="1905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srcRect/>
                    <a:stretch>
                      <a:fillRect/>
                    </a:stretch>
                  </pic:blipFill>
                  <pic:spPr bwMode="auto">
                    <a:xfrm>
                      <a:off x="0" y="0"/>
                      <a:ext cx="5730240" cy="1965960"/>
                    </a:xfrm>
                    <a:prstGeom prst="rect">
                      <a:avLst/>
                    </a:prstGeom>
                    <a:noFill/>
                  </pic:spPr>
                </pic:pic>
              </a:graphicData>
            </a:graphic>
          </wp:anchor>
        </w:drawing>
      </w: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Pr="000D4049" w:rsidRDefault="00635E89" w:rsidP="00F729A7">
      <w:pPr>
        <w:rPr>
          <w:sz w:val="20"/>
          <w:szCs w:val="20"/>
          <w:lang w:val="en-ZA"/>
        </w:rPr>
      </w:pPr>
      <w:r>
        <w:rPr>
          <w:rFonts w:cs="Calibri"/>
          <w:sz w:val="20"/>
          <w:szCs w:val="20"/>
        </w:rPr>
        <w:t>Fig. 3:</w:t>
      </w:r>
      <w:r>
        <w:rPr>
          <w:sz w:val="20"/>
          <w:szCs w:val="20"/>
          <w:lang w:val="en-ZA"/>
        </w:rPr>
        <w:t xml:space="preserve"> Estimated gender-aggregated spawning biomass trajectories for </w:t>
      </w:r>
      <w:r w:rsidRPr="000D4049">
        <w:rPr>
          <w:i/>
          <w:sz w:val="20"/>
          <w:szCs w:val="20"/>
          <w:lang w:val="en-ZA"/>
        </w:rPr>
        <w:t>M. paradoxus</w:t>
      </w:r>
      <w:r>
        <w:rPr>
          <w:sz w:val="20"/>
          <w:szCs w:val="20"/>
          <w:lang w:val="en-ZA"/>
        </w:rPr>
        <w:t xml:space="preserve"> and </w:t>
      </w:r>
      <w:r w:rsidRPr="000D4049">
        <w:rPr>
          <w:i/>
          <w:sz w:val="20"/>
          <w:szCs w:val="20"/>
          <w:lang w:val="en-ZA"/>
        </w:rPr>
        <w:t>M. capensis</w:t>
      </w:r>
      <w:r>
        <w:rPr>
          <w:sz w:val="20"/>
          <w:szCs w:val="20"/>
          <w:lang w:val="en-ZA"/>
        </w:rPr>
        <w:t xml:space="preserve">, relative to pre-exploitation levels, for the RS11 and three robustness tests based on this </w:t>
      </w:r>
      <w:smartTag w:uri="urn:schemas-microsoft-com:office:smarttags" w:element="place">
        <w:r>
          <w:rPr>
            <w:sz w:val="20"/>
            <w:szCs w:val="20"/>
            <w:lang w:val="en-ZA"/>
          </w:rPr>
          <w:t>OM.</w:t>
        </w:r>
      </w:smartTag>
    </w:p>
    <w:p w:rsidR="00635E89" w:rsidRPr="00F729A7" w:rsidRDefault="00635E89" w:rsidP="00FF6A65">
      <w:pPr>
        <w:jc w:val="both"/>
        <w:rPr>
          <w:rFonts w:cs="Calibri"/>
          <w:sz w:val="20"/>
          <w:szCs w:val="20"/>
          <w:lang w:val="en-ZA"/>
        </w:rPr>
      </w:pPr>
    </w:p>
    <w:p w:rsidR="00635E89" w:rsidRPr="00D860A5" w:rsidRDefault="00164C61" w:rsidP="00FF6A65">
      <w:pPr>
        <w:jc w:val="both"/>
        <w:rPr>
          <w:rFonts w:cs="Calibri"/>
          <w:sz w:val="20"/>
          <w:szCs w:val="20"/>
          <w:lang w:val="en-ZA"/>
        </w:rPr>
      </w:pPr>
      <w:r>
        <w:rPr>
          <w:noProof/>
          <w:lang w:val="en-ZA" w:eastAsia="en-ZA"/>
        </w:rPr>
        <w:drawing>
          <wp:anchor distT="0" distB="0" distL="114300" distR="114300" simplePos="0" relativeHeight="251662848" behindDoc="1" locked="0" layoutInCell="1" allowOverlap="1">
            <wp:simplePos x="0" y="0"/>
            <wp:positionH relativeFrom="column">
              <wp:align>center</wp:align>
            </wp:positionH>
            <wp:positionV relativeFrom="paragraph">
              <wp:posOffset>-6985</wp:posOffset>
            </wp:positionV>
            <wp:extent cx="5730240" cy="4389120"/>
            <wp:effectExtent l="1905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srcRect/>
                    <a:stretch>
                      <a:fillRect/>
                    </a:stretch>
                  </pic:blipFill>
                  <pic:spPr bwMode="auto">
                    <a:xfrm>
                      <a:off x="0" y="0"/>
                      <a:ext cx="5730240" cy="4389120"/>
                    </a:xfrm>
                    <a:prstGeom prst="rect">
                      <a:avLst/>
                    </a:prstGeom>
                    <a:noFill/>
                  </pic:spPr>
                </pic:pic>
              </a:graphicData>
            </a:graphic>
          </wp:anchor>
        </w:drawing>
      </w: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FF6A65">
      <w:pPr>
        <w:jc w:val="both"/>
        <w:rPr>
          <w:rFonts w:cs="Calibri"/>
          <w:sz w:val="20"/>
          <w:szCs w:val="20"/>
        </w:rPr>
      </w:pPr>
    </w:p>
    <w:p w:rsidR="00635E89" w:rsidRDefault="00635E89" w:rsidP="00CC560F">
      <w:pPr>
        <w:jc w:val="both"/>
        <w:rPr>
          <w:rFonts w:cs="Calibri"/>
          <w:sz w:val="20"/>
          <w:szCs w:val="20"/>
        </w:rPr>
      </w:pPr>
      <w:r>
        <w:t xml:space="preserve">Fig. 4: </w:t>
      </w:r>
      <w:r w:rsidRPr="00FF6A65">
        <w:t>Three performance statistics (</w:t>
      </w:r>
      <w:r w:rsidRPr="00FF6A65">
        <w:rPr>
          <w:position w:val="-12"/>
        </w:rPr>
        <w:object w:dxaOrig="1120" w:dyaOrig="380">
          <v:shape id="_x0000_i1045" type="#_x0000_t75" style="width:54.75pt;height:19.5pt" o:ole="">
            <v:imagedata r:id="rId6" o:title=""/>
          </v:shape>
          <o:OLEObject Type="Embed" ProgID="Equation.3" ShapeID="_x0000_i1045" DrawAspect="Content" ObjectID="_1351586497" r:id="rId44"/>
        </w:object>
      </w:r>
      <w:r w:rsidRPr="00FF6A65">
        <w:t>,</w:t>
      </w:r>
      <w:r w:rsidRPr="00FF6A65">
        <w:rPr>
          <w:position w:val="-14"/>
        </w:rPr>
        <w:object w:dxaOrig="1020" w:dyaOrig="400">
          <v:shape id="_x0000_i1046" type="#_x0000_t75" style="width:51pt;height:19.5pt" o:ole="">
            <v:imagedata r:id="rId8" o:title=""/>
          </v:shape>
          <o:OLEObject Type="Embed" ProgID="Equation.3" ShapeID="_x0000_i1046" DrawAspect="Content" ObjectID="_1351586498" r:id="rId45"/>
        </w:object>
      </w:r>
      <w:r w:rsidRPr="00FF6A65">
        <w:t xml:space="preserve"> </w:t>
      </w:r>
      <w:proofErr w:type="gramStart"/>
      <w:r w:rsidRPr="00FF6A65">
        <w:t xml:space="preserve">and </w:t>
      </w:r>
      <w:proofErr w:type="gramEnd"/>
      <w:r w:rsidRPr="00FF6A65">
        <w:rPr>
          <w:position w:val="-12"/>
        </w:rPr>
        <w:object w:dxaOrig="1120" w:dyaOrig="380">
          <v:shape id="_x0000_i1047" type="#_x0000_t75" style="width:54.75pt;height:19.5pt" o:ole="">
            <v:imagedata r:id="rId10" o:title=""/>
          </v:shape>
          <o:OLEObject Type="Embed" ProgID="Equation.3" ShapeID="_x0000_i1047" DrawAspect="Content" ObjectID="_1351586499" r:id="rId46"/>
        </w:object>
      </w:r>
      <w:r w:rsidRPr="00FF6A65">
        <w:t xml:space="preserve">, in terms of female biomass only) for </w:t>
      </w:r>
      <w:r w:rsidRPr="00CC560F">
        <w:rPr>
          <w:i/>
        </w:rPr>
        <w:t>M. paradoxus</w:t>
      </w:r>
      <w:r w:rsidRPr="00FF6A65">
        <w:t xml:space="preserve"> </w:t>
      </w:r>
      <w:r>
        <w:t xml:space="preserve">and </w:t>
      </w:r>
      <w:r w:rsidRPr="00CC560F">
        <w:rPr>
          <w:i/>
        </w:rPr>
        <w:t>M. capensis</w:t>
      </w:r>
      <w:r>
        <w:t xml:space="preserve"> for RS11 and </w:t>
      </w:r>
      <w:r>
        <w:rPr>
          <w:sz w:val="20"/>
          <w:szCs w:val="20"/>
          <w:lang w:val="en-ZA"/>
        </w:rPr>
        <w:t xml:space="preserve">four robustness tests based on this </w:t>
      </w:r>
      <w:smartTag w:uri="urn:schemas-microsoft-com:office:smarttags" w:element="place">
        <w:r>
          <w:rPr>
            <w:sz w:val="20"/>
            <w:szCs w:val="20"/>
            <w:lang w:val="en-ZA"/>
          </w:rPr>
          <w:t>OM</w:t>
        </w:r>
      </w:smartTag>
      <w:r>
        <w:rPr>
          <w:sz w:val="20"/>
          <w:szCs w:val="20"/>
          <w:lang w:val="en-ZA"/>
        </w:rPr>
        <w:t xml:space="preserve"> </w:t>
      </w:r>
      <w:r w:rsidRPr="00FF6A65">
        <w:t xml:space="preserve">under a projected constant catch of </w:t>
      </w:r>
      <w:r w:rsidRPr="00FF6A65">
        <w:rPr>
          <w:b/>
        </w:rPr>
        <w:t>150 000</w:t>
      </w:r>
      <w:r>
        <w:rPr>
          <w:b/>
        </w:rPr>
        <w:t>t</w:t>
      </w:r>
      <w:r w:rsidRPr="00FF6A65">
        <w:t>.</w:t>
      </w:r>
      <w:r w:rsidRPr="00CA3FB7">
        <w:rPr>
          <w:rFonts w:cs="Calibri"/>
          <w:sz w:val="20"/>
          <w:szCs w:val="20"/>
        </w:rPr>
        <w:t xml:space="preserve"> </w:t>
      </w:r>
    </w:p>
    <w:p w:rsidR="00635E89" w:rsidRDefault="00635E89" w:rsidP="00FF6A65">
      <w:pPr>
        <w:jc w:val="both"/>
        <w:rPr>
          <w:rFonts w:cs="Calibri"/>
          <w:sz w:val="20"/>
          <w:szCs w:val="20"/>
        </w:rPr>
      </w:pPr>
    </w:p>
    <w:sectPr w:rsidR="00635E89" w:rsidSect="000122CB">
      <w:headerReference w:type="default"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F3" w:rsidRDefault="000B3EF3" w:rsidP="0039698B">
      <w:pPr>
        <w:spacing w:after="0" w:line="240" w:lineRule="auto"/>
      </w:pPr>
      <w:r>
        <w:separator/>
      </w:r>
    </w:p>
  </w:endnote>
  <w:endnote w:type="continuationSeparator" w:id="0">
    <w:p w:rsidR="000B3EF3" w:rsidRDefault="000B3EF3" w:rsidP="00396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E89" w:rsidRDefault="00410BEE">
    <w:pPr>
      <w:pStyle w:val="Footer"/>
      <w:jc w:val="right"/>
    </w:pPr>
    <w:fldSimple w:instr=" PAGE   \* MERGEFORMAT ">
      <w:r w:rsidR="00D20A94">
        <w:rPr>
          <w:noProof/>
        </w:rPr>
        <w:t>1</w:t>
      </w:r>
    </w:fldSimple>
  </w:p>
  <w:p w:rsidR="00635E89" w:rsidRDefault="00635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F3" w:rsidRDefault="000B3EF3" w:rsidP="0039698B">
      <w:pPr>
        <w:spacing w:after="0" w:line="240" w:lineRule="auto"/>
      </w:pPr>
      <w:r>
        <w:separator/>
      </w:r>
    </w:p>
  </w:footnote>
  <w:footnote w:type="continuationSeparator" w:id="0">
    <w:p w:rsidR="000B3EF3" w:rsidRDefault="000B3EF3" w:rsidP="00396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E89" w:rsidRPr="00231C38" w:rsidRDefault="00635E89" w:rsidP="00875E3B">
    <w:pPr>
      <w:pStyle w:val="Header"/>
      <w:rPr>
        <w:lang w:val="en-ZA"/>
      </w:rPr>
    </w:pPr>
    <w:r>
      <w:rPr>
        <w:lang w:val="en-ZA"/>
      </w:rPr>
      <w:t>MCM/2010/JUNE/SWG-DEM/</w:t>
    </w:r>
    <w:r w:rsidR="00EE14E3">
      <w:rPr>
        <w:lang w:val="en-ZA"/>
      </w:rPr>
      <w:t>31</w:t>
    </w:r>
    <w:r w:rsidR="00875E3B">
      <w:rPr>
        <w:lang w:val="en-ZA"/>
      </w:rPr>
      <w:tab/>
    </w:r>
    <w:r w:rsidR="00875E3B">
      <w:rPr>
        <w:lang w:val="en-ZA"/>
      </w:rPr>
      <w:tab/>
      <w:t xml:space="preserve"> MARAM IWS/DEC10/H/P1</w:t>
    </w:r>
  </w:p>
  <w:p w:rsidR="00635E89" w:rsidRDefault="00635E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39698B"/>
    <w:rsid w:val="00001E82"/>
    <w:rsid w:val="000122CB"/>
    <w:rsid w:val="00032226"/>
    <w:rsid w:val="00032F26"/>
    <w:rsid w:val="00033251"/>
    <w:rsid w:val="00034DB5"/>
    <w:rsid w:val="000B3EF3"/>
    <w:rsid w:val="000C2AB7"/>
    <w:rsid w:val="000C6397"/>
    <w:rsid w:val="000D3F10"/>
    <w:rsid w:val="000D4049"/>
    <w:rsid w:val="0010486B"/>
    <w:rsid w:val="00137ECC"/>
    <w:rsid w:val="00153253"/>
    <w:rsid w:val="001536D2"/>
    <w:rsid w:val="00164C61"/>
    <w:rsid w:val="00196D1A"/>
    <w:rsid w:val="001D5BE6"/>
    <w:rsid w:val="001E1F22"/>
    <w:rsid w:val="001E264E"/>
    <w:rsid w:val="001E40FD"/>
    <w:rsid w:val="001E4E8A"/>
    <w:rsid w:val="002068D9"/>
    <w:rsid w:val="00207D7B"/>
    <w:rsid w:val="00212AB2"/>
    <w:rsid w:val="00215C84"/>
    <w:rsid w:val="00231C38"/>
    <w:rsid w:val="002448C6"/>
    <w:rsid w:val="00253A90"/>
    <w:rsid w:val="0026058F"/>
    <w:rsid w:val="00262359"/>
    <w:rsid w:val="00273F19"/>
    <w:rsid w:val="002776DD"/>
    <w:rsid w:val="002C5045"/>
    <w:rsid w:val="002D5E56"/>
    <w:rsid w:val="002E4C75"/>
    <w:rsid w:val="002F795C"/>
    <w:rsid w:val="00316B36"/>
    <w:rsid w:val="0032326D"/>
    <w:rsid w:val="00344756"/>
    <w:rsid w:val="00367537"/>
    <w:rsid w:val="00394FAE"/>
    <w:rsid w:val="0039698B"/>
    <w:rsid w:val="003C59FD"/>
    <w:rsid w:val="003E2208"/>
    <w:rsid w:val="00404FBA"/>
    <w:rsid w:val="00406DDB"/>
    <w:rsid w:val="00410BEE"/>
    <w:rsid w:val="00417589"/>
    <w:rsid w:val="00430C4B"/>
    <w:rsid w:val="004415EA"/>
    <w:rsid w:val="004878EA"/>
    <w:rsid w:val="00496619"/>
    <w:rsid w:val="004D61BC"/>
    <w:rsid w:val="004E448A"/>
    <w:rsid w:val="00521872"/>
    <w:rsid w:val="00555F53"/>
    <w:rsid w:val="00592BD7"/>
    <w:rsid w:val="005945B1"/>
    <w:rsid w:val="005B016B"/>
    <w:rsid w:val="005B2EB4"/>
    <w:rsid w:val="005D30C3"/>
    <w:rsid w:val="005E09EC"/>
    <w:rsid w:val="005E15BE"/>
    <w:rsid w:val="005F1B93"/>
    <w:rsid w:val="0061793B"/>
    <w:rsid w:val="00635E89"/>
    <w:rsid w:val="00645812"/>
    <w:rsid w:val="00666203"/>
    <w:rsid w:val="00666E6E"/>
    <w:rsid w:val="006B2AA2"/>
    <w:rsid w:val="007008E6"/>
    <w:rsid w:val="00702627"/>
    <w:rsid w:val="00703E3E"/>
    <w:rsid w:val="00751002"/>
    <w:rsid w:val="00780C1E"/>
    <w:rsid w:val="0078446A"/>
    <w:rsid w:val="007A6147"/>
    <w:rsid w:val="007B1C31"/>
    <w:rsid w:val="007C5B00"/>
    <w:rsid w:val="007D60AB"/>
    <w:rsid w:val="0083117F"/>
    <w:rsid w:val="00852675"/>
    <w:rsid w:val="008676A8"/>
    <w:rsid w:val="00875E3B"/>
    <w:rsid w:val="008B242A"/>
    <w:rsid w:val="008D5219"/>
    <w:rsid w:val="00934756"/>
    <w:rsid w:val="00964CAD"/>
    <w:rsid w:val="00974844"/>
    <w:rsid w:val="009B5D65"/>
    <w:rsid w:val="009E49DF"/>
    <w:rsid w:val="009E6FAF"/>
    <w:rsid w:val="009F2A53"/>
    <w:rsid w:val="00A07319"/>
    <w:rsid w:val="00A407DE"/>
    <w:rsid w:val="00A47ECF"/>
    <w:rsid w:val="00A63227"/>
    <w:rsid w:val="00A9436F"/>
    <w:rsid w:val="00AC64B7"/>
    <w:rsid w:val="00AD05A4"/>
    <w:rsid w:val="00B113EC"/>
    <w:rsid w:val="00B717B6"/>
    <w:rsid w:val="00B905A8"/>
    <w:rsid w:val="00BB75F0"/>
    <w:rsid w:val="00BC2209"/>
    <w:rsid w:val="00C75682"/>
    <w:rsid w:val="00C800EC"/>
    <w:rsid w:val="00CA3FB7"/>
    <w:rsid w:val="00CA48AB"/>
    <w:rsid w:val="00CA58C2"/>
    <w:rsid w:val="00CB0D7B"/>
    <w:rsid w:val="00CC560F"/>
    <w:rsid w:val="00D20A94"/>
    <w:rsid w:val="00D24C89"/>
    <w:rsid w:val="00D330E7"/>
    <w:rsid w:val="00D475A3"/>
    <w:rsid w:val="00D860A5"/>
    <w:rsid w:val="00D93113"/>
    <w:rsid w:val="00D9544C"/>
    <w:rsid w:val="00DA06D2"/>
    <w:rsid w:val="00DB2D7F"/>
    <w:rsid w:val="00DC0E97"/>
    <w:rsid w:val="00DC2257"/>
    <w:rsid w:val="00DC3271"/>
    <w:rsid w:val="00DF2B4D"/>
    <w:rsid w:val="00E117E0"/>
    <w:rsid w:val="00E6674D"/>
    <w:rsid w:val="00E73871"/>
    <w:rsid w:val="00E75C42"/>
    <w:rsid w:val="00E7654C"/>
    <w:rsid w:val="00E83D70"/>
    <w:rsid w:val="00E86FF4"/>
    <w:rsid w:val="00E9775E"/>
    <w:rsid w:val="00EC0ED1"/>
    <w:rsid w:val="00ED2B9B"/>
    <w:rsid w:val="00EE14E3"/>
    <w:rsid w:val="00EE15C0"/>
    <w:rsid w:val="00EE1A7E"/>
    <w:rsid w:val="00EF5106"/>
    <w:rsid w:val="00F27654"/>
    <w:rsid w:val="00F375B8"/>
    <w:rsid w:val="00F60B49"/>
    <w:rsid w:val="00F62573"/>
    <w:rsid w:val="00F729A7"/>
    <w:rsid w:val="00F86E34"/>
    <w:rsid w:val="00F976EF"/>
    <w:rsid w:val="00FC02F1"/>
    <w:rsid w:val="00FF6A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8B"/>
    <w:pPr>
      <w:spacing w:after="200" w:line="276" w:lineRule="auto"/>
    </w:pPr>
    <w:rPr>
      <w:sz w:val="22"/>
      <w:szCs w:val="22"/>
      <w:lang w:eastAsia="en-US"/>
    </w:rPr>
  </w:style>
  <w:style w:type="paragraph" w:styleId="Heading1">
    <w:name w:val="heading 1"/>
    <w:basedOn w:val="Normal"/>
    <w:next w:val="Normal"/>
    <w:link w:val="Heading1Char"/>
    <w:uiPriority w:val="99"/>
    <w:qFormat/>
    <w:rsid w:val="00592BD7"/>
    <w:pPr>
      <w:keepNext/>
      <w:spacing w:after="0" w:line="240" w:lineRule="auto"/>
      <w:jc w:val="center"/>
      <w:outlineLvl w:val="0"/>
    </w:pPr>
    <w:rPr>
      <w:rFonts w:ascii="Times New Roman" w:eastAsia="MS Mincho" w:hAnsi="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BD7"/>
    <w:rPr>
      <w:rFonts w:ascii="Times New Roman" w:eastAsia="MS Mincho" w:hAnsi="Times New Roman" w:cs="Times New Roman"/>
      <w:b/>
      <w:sz w:val="28"/>
      <w:szCs w:val="28"/>
      <w:lang w:val="en-US"/>
    </w:rPr>
  </w:style>
  <w:style w:type="paragraph" w:styleId="BodyText">
    <w:name w:val="Body Text"/>
    <w:basedOn w:val="Normal"/>
    <w:link w:val="BodyTextChar"/>
    <w:uiPriority w:val="99"/>
    <w:rsid w:val="0039698B"/>
    <w:pPr>
      <w:tabs>
        <w:tab w:val="left" w:pos="142"/>
      </w:tabs>
      <w:spacing w:before="120" w:after="120" w:line="360" w:lineRule="auto"/>
      <w:ind w:firstLine="720"/>
      <w:jc w:val="both"/>
    </w:pPr>
    <w:rPr>
      <w:rFonts w:ascii="Times New Roman" w:eastAsia="Times New Roman" w:hAnsi="Times New Roman"/>
      <w:szCs w:val="20"/>
      <w:lang w:val="en-ZA"/>
    </w:rPr>
  </w:style>
  <w:style w:type="character" w:customStyle="1" w:styleId="BodyTextChar">
    <w:name w:val="Body Text Char"/>
    <w:basedOn w:val="DefaultParagraphFont"/>
    <w:link w:val="BodyText"/>
    <w:uiPriority w:val="99"/>
    <w:locked/>
    <w:rsid w:val="0039698B"/>
    <w:rPr>
      <w:rFonts w:ascii="Times New Roman" w:hAnsi="Times New Roman" w:cs="Times New Roman"/>
      <w:sz w:val="20"/>
      <w:szCs w:val="20"/>
      <w:lang w:val="en-ZA"/>
    </w:rPr>
  </w:style>
  <w:style w:type="paragraph" w:styleId="Header">
    <w:name w:val="header"/>
    <w:basedOn w:val="Normal"/>
    <w:link w:val="HeaderChar"/>
    <w:uiPriority w:val="99"/>
    <w:semiHidden/>
    <w:rsid w:val="003969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9698B"/>
    <w:rPr>
      <w:rFonts w:ascii="Calibri" w:hAnsi="Calibri" w:cs="Times New Roman"/>
    </w:rPr>
  </w:style>
  <w:style w:type="paragraph" w:styleId="Footer">
    <w:name w:val="footer"/>
    <w:basedOn w:val="Normal"/>
    <w:link w:val="FooterChar"/>
    <w:uiPriority w:val="99"/>
    <w:rsid w:val="003969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9698B"/>
    <w:rPr>
      <w:rFonts w:ascii="Calibri" w:hAnsi="Calibri" w:cs="Times New Roman"/>
    </w:rPr>
  </w:style>
  <w:style w:type="paragraph" w:styleId="BalloonText">
    <w:name w:val="Balloon Text"/>
    <w:basedOn w:val="Normal"/>
    <w:link w:val="BalloonTextChar"/>
    <w:uiPriority w:val="99"/>
    <w:semiHidden/>
    <w:rsid w:val="008D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5219"/>
    <w:rPr>
      <w:rFonts w:ascii="Tahoma" w:hAnsi="Tahoma" w:cs="Tahoma"/>
      <w:sz w:val="16"/>
      <w:szCs w:val="16"/>
    </w:rPr>
  </w:style>
  <w:style w:type="paragraph" w:styleId="BodyTextIndent">
    <w:name w:val="Body Text Indent"/>
    <w:basedOn w:val="Normal"/>
    <w:link w:val="BodyTextIndentChar"/>
    <w:uiPriority w:val="99"/>
    <w:rsid w:val="0010486B"/>
    <w:pPr>
      <w:spacing w:after="120" w:line="240" w:lineRule="auto"/>
      <w:ind w:left="283"/>
    </w:pPr>
    <w:rPr>
      <w:rFonts w:ascii="Times New Roman" w:eastAsia="Times New Roman" w:hAnsi="Times New Roman"/>
      <w:sz w:val="24"/>
      <w:szCs w:val="24"/>
      <w:lang w:eastAsia="en-GB"/>
    </w:rPr>
  </w:style>
  <w:style w:type="character" w:customStyle="1" w:styleId="BodyTextIndentChar">
    <w:name w:val="Body Text Indent Char"/>
    <w:basedOn w:val="DefaultParagraphFont"/>
    <w:link w:val="BodyTextIndent"/>
    <w:uiPriority w:val="99"/>
    <w:locked/>
    <w:rsid w:val="0010486B"/>
    <w:rPr>
      <w:rFonts w:ascii="Times New Roman" w:hAnsi="Times New Roman" w:cs="Times New Roman"/>
      <w:sz w:val="24"/>
      <w:szCs w:val="24"/>
      <w:lang w:eastAsia="en-GB"/>
    </w:rPr>
  </w:style>
  <w:style w:type="character" w:styleId="Hyperlink">
    <w:name w:val="Hyperlink"/>
    <w:basedOn w:val="DefaultParagraphFont"/>
    <w:uiPriority w:val="99"/>
    <w:rsid w:val="0010486B"/>
    <w:rPr>
      <w:rFonts w:cs="Times New Roman"/>
      <w:color w:val="0000FF"/>
      <w:u w:val="single"/>
    </w:rPr>
  </w:style>
  <w:style w:type="character" w:styleId="CommentReference">
    <w:name w:val="annotation reference"/>
    <w:basedOn w:val="DefaultParagraphFont"/>
    <w:uiPriority w:val="99"/>
    <w:semiHidden/>
    <w:rsid w:val="00367537"/>
    <w:rPr>
      <w:rFonts w:cs="Times New Roman"/>
      <w:sz w:val="16"/>
      <w:szCs w:val="16"/>
    </w:rPr>
  </w:style>
  <w:style w:type="paragraph" w:styleId="CommentText">
    <w:name w:val="annotation text"/>
    <w:basedOn w:val="Normal"/>
    <w:link w:val="CommentTextChar"/>
    <w:uiPriority w:val="99"/>
    <w:semiHidden/>
    <w:rsid w:val="00367537"/>
    <w:rPr>
      <w:sz w:val="20"/>
      <w:szCs w:val="20"/>
    </w:rPr>
  </w:style>
  <w:style w:type="character" w:customStyle="1" w:styleId="CommentTextChar">
    <w:name w:val="Comment Text Char"/>
    <w:basedOn w:val="DefaultParagraphFont"/>
    <w:link w:val="CommentText"/>
    <w:uiPriority w:val="99"/>
    <w:semiHidden/>
    <w:locked/>
    <w:rsid w:val="00394FAE"/>
    <w:rPr>
      <w:rFonts w:cs="Times New Roman"/>
      <w:sz w:val="20"/>
      <w:szCs w:val="20"/>
      <w:lang w:val="en-GB"/>
    </w:rPr>
  </w:style>
  <w:style w:type="paragraph" w:styleId="CommentSubject">
    <w:name w:val="annotation subject"/>
    <w:basedOn w:val="CommentText"/>
    <w:next w:val="CommentText"/>
    <w:link w:val="CommentSubjectChar"/>
    <w:uiPriority w:val="99"/>
    <w:semiHidden/>
    <w:rsid w:val="00367537"/>
    <w:rPr>
      <w:b/>
      <w:bCs/>
    </w:rPr>
  </w:style>
  <w:style w:type="character" w:customStyle="1" w:styleId="CommentSubjectChar">
    <w:name w:val="Comment Subject Char"/>
    <w:basedOn w:val="CommentTextChar"/>
    <w:link w:val="CommentSubject"/>
    <w:uiPriority w:val="99"/>
    <w:semiHidden/>
    <w:locked/>
    <w:rsid w:val="00394FAE"/>
    <w:rPr>
      <w:b/>
      <w:bCs/>
    </w:rPr>
  </w:style>
</w:styles>
</file>

<file path=word/webSettings.xml><?xml version="1.0" encoding="utf-8"?>
<w:webSettings xmlns:r="http://schemas.openxmlformats.org/officeDocument/2006/relationships" xmlns:w="http://schemas.openxmlformats.org/wordprocessingml/2006/main">
  <w:divs>
    <w:div w:id="1121612803">
      <w:marLeft w:val="0"/>
      <w:marRight w:val="0"/>
      <w:marTop w:val="0"/>
      <w:marBottom w:val="0"/>
      <w:divBdr>
        <w:top w:val="none" w:sz="0" w:space="0" w:color="auto"/>
        <w:left w:val="none" w:sz="0" w:space="0" w:color="auto"/>
        <w:bottom w:val="none" w:sz="0" w:space="0" w:color="auto"/>
        <w:right w:val="none" w:sz="0" w:space="0" w:color="auto"/>
      </w:divBdr>
    </w:div>
    <w:div w:id="1121612804">
      <w:marLeft w:val="0"/>
      <w:marRight w:val="0"/>
      <w:marTop w:val="0"/>
      <w:marBottom w:val="0"/>
      <w:divBdr>
        <w:top w:val="none" w:sz="0" w:space="0" w:color="auto"/>
        <w:left w:val="none" w:sz="0" w:space="0" w:color="auto"/>
        <w:bottom w:val="none" w:sz="0" w:space="0" w:color="auto"/>
        <w:right w:val="none" w:sz="0" w:space="0" w:color="auto"/>
      </w:divBdr>
    </w:div>
    <w:div w:id="1121612805">
      <w:marLeft w:val="0"/>
      <w:marRight w:val="0"/>
      <w:marTop w:val="0"/>
      <w:marBottom w:val="0"/>
      <w:divBdr>
        <w:top w:val="none" w:sz="0" w:space="0" w:color="auto"/>
        <w:left w:val="none" w:sz="0" w:space="0" w:color="auto"/>
        <w:bottom w:val="none" w:sz="0" w:space="0" w:color="auto"/>
        <w:right w:val="none" w:sz="0" w:space="0" w:color="auto"/>
      </w:divBdr>
    </w:div>
    <w:div w:id="1121612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5.png"/><Relationship Id="rId42" Type="http://schemas.openxmlformats.org/officeDocument/2006/relationships/image" Target="media/image17.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media/image16.png"/><Relationship Id="rId46" Type="http://schemas.openxmlformats.org/officeDocument/2006/relationships/oleObject" Target="embeddings/oleObject23.bin"/><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4.bin"/><Relationship Id="rId41" Type="http://schemas.openxmlformats.org/officeDocument/2006/relationships/oleObject" Target="embeddings/oleObject20.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oleObject" Target="embeddings/oleObject22.bin"/><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2.png"/><Relationship Id="rId44" Type="http://schemas.openxmlformats.org/officeDocument/2006/relationships/oleObject" Target="embeddings/oleObject21.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1.png"/><Relationship Id="rId35" Type="http://schemas.openxmlformats.org/officeDocument/2006/relationships/oleObject" Target="embeddings/oleObject15.bin"/><Relationship Id="rId43" Type="http://schemas.openxmlformats.org/officeDocument/2006/relationships/image" Target="media/image18.png"/><Relationship Id="rId48" Type="http://schemas.openxmlformats.org/officeDocument/2006/relationships/footer" Target="footer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1185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Conditioning of the full set of robustness tests for the South African hake resource to be used in OMP-2010 testing and constant catch projections</vt:lpstr>
    </vt:vector>
  </TitlesOfParts>
  <Company>Microsoft</Company>
  <LinksUpToDate>false</LinksUpToDate>
  <CharactersWithSpaces>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Conditioning of the full set of robustness tests for the South African hake resource to be used in OMP-2010 testing and constant catch projections</dc:title>
  <dc:creator>Rebecca Rademeyer</dc:creator>
  <cp:lastModifiedBy>New Win User</cp:lastModifiedBy>
  <cp:revision>3</cp:revision>
  <cp:lastPrinted>2010-06-14T12:06:00Z</cp:lastPrinted>
  <dcterms:created xsi:type="dcterms:W3CDTF">2010-11-18T09:30:00Z</dcterms:created>
  <dcterms:modified xsi:type="dcterms:W3CDTF">2010-11-18T09:49:00Z</dcterms:modified>
</cp:coreProperties>
</file>