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DC" w:rsidRPr="00681CA0" w:rsidRDefault="005C3ABA" w:rsidP="0026690C">
      <w:pPr>
        <w:pStyle w:val="Title"/>
      </w:pPr>
      <w:r>
        <w:t>Check</w:t>
      </w:r>
      <w:r w:rsidR="003D65DC">
        <w:t>ing the penguin population model</w:t>
      </w:r>
      <w:r>
        <w:t xml:space="preserve"> estimator for bias</w:t>
      </w:r>
    </w:p>
    <w:p w:rsidR="003D65DC" w:rsidRDefault="003D65DC" w:rsidP="0026690C">
      <w:pPr>
        <w:jc w:val="center"/>
      </w:pPr>
      <w:r>
        <w:t>William Robinson and Doug Butterworth</w:t>
      </w:r>
    </w:p>
    <w:p w:rsidR="003D65DC" w:rsidRDefault="003D65DC" w:rsidP="0026690C">
      <w:pPr>
        <w:pStyle w:val="NoSpacing"/>
        <w:jc w:val="center"/>
      </w:pPr>
      <w:r>
        <w:t xml:space="preserve">MARAM </w:t>
      </w:r>
      <w:r w:rsidRPr="000E6A0B">
        <w:t>(Marine Resource Assessment and Management Group)</w:t>
      </w:r>
    </w:p>
    <w:p w:rsidR="003D65DC" w:rsidRDefault="003D65DC" w:rsidP="0026690C">
      <w:pPr>
        <w:pStyle w:val="NoSpacing"/>
        <w:jc w:val="center"/>
      </w:pPr>
      <w:r>
        <w:t xml:space="preserve">Department of </w:t>
      </w:r>
      <w:r w:rsidRPr="000E6A0B">
        <w:t>Mathematics and Applied Mathematics,</w:t>
      </w:r>
    </w:p>
    <w:p w:rsidR="003D65DC" w:rsidRDefault="003D65DC" w:rsidP="0026690C">
      <w:pPr>
        <w:jc w:val="center"/>
      </w:pPr>
      <w:r>
        <w:t>University of Cape Town</w:t>
      </w:r>
    </w:p>
    <w:p w:rsidR="003D65DC" w:rsidRPr="00573F34" w:rsidRDefault="003D65DC" w:rsidP="0026690C">
      <w:pPr>
        <w:jc w:val="center"/>
        <w:rPr>
          <w:sz w:val="2"/>
        </w:rPr>
      </w:pPr>
      <w:r>
        <w:t>November 2010</w:t>
      </w:r>
    </w:p>
    <w:p w:rsidR="003D65DC" w:rsidRPr="0026690C" w:rsidRDefault="003D65DC" w:rsidP="0026690C">
      <w:pPr>
        <w:jc w:val="center"/>
        <w:rPr>
          <w:rStyle w:val="BookTitle"/>
          <w:rFonts w:asciiTheme="majorHAnsi" w:hAnsiTheme="majorHAnsi"/>
        </w:rPr>
      </w:pPr>
      <w:r w:rsidRPr="0026690C">
        <w:rPr>
          <w:rStyle w:val="BookTitle"/>
          <w:rFonts w:asciiTheme="majorHAnsi" w:hAnsiTheme="majorHAnsi"/>
        </w:rPr>
        <w:t>Abstract</w:t>
      </w:r>
    </w:p>
    <w:p w:rsidR="007F1D12" w:rsidRDefault="005C3ABA" w:rsidP="007F1D12">
      <w:pPr>
        <w:pStyle w:val="Abstract"/>
      </w:pPr>
      <w:r>
        <w:t>A b</w:t>
      </w:r>
      <w:r w:rsidR="007F1D12">
        <w:t>ootstrap</w:t>
      </w:r>
      <w:r>
        <w:t xml:space="preserve"> approach is used to check</w:t>
      </w:r>
      <w:r w:rsidR="007F1D12">
        <w:t xml:space="preserve"> the Robben Island penguin model </w:t>
      </w:r>
      <w:r>
        <w:t xml:space="preserve">estimator bias. The results </w:t>
      </w:r>
      <w:r w:rsidR="007F1D12">
        <w:t xml:space="preserve">show that there is little evidence </w:t>
      </w:r>
      <w:r>
        <w:t>for this</w:t>
      </w:r>
      <w:r w:rsidR="007F1D12">
        <w:t xml:space="preserve">. The distributions of estimates from the bootstrapping process are well-centred on the </w:t>
      </w:r>
      <w:r w:rsidR="00BD125C">
        <w:t>penalized maximum likelihood estimates.</w:t>
      </w:r>
    </w:p>
    <w:p w:rsidR="003D65DC" w:rsidRDefault="003D65DC" w:rsidP="0026690C">
      <w:pPr>
        <w:pStyle w:val="Heading1"/>
      </w:pPr>
      <w:r>
        <w:t>Introduction</w:t>
      </w:r>
    </w:p>
    <w:p w:rsidR="00F306BD" w:rsidRDefault="007F1D12" w:rsidP="0026690C">
      <w:r>
        <w:t xml:space="preserve">A key aspect of model-testing is to check </w:t>
      </w:r>
      <w:r w:rsidR="005C3ABA">
        <w:t>whether</w:t>
      </w:r>
      <w:r>
        <w:t xml:space="preserve"> the estimator</w:t>
      </w:r>
      <w:r w:rsidR="005C3ABA">
        <w:t xml:space="preserve"> used can “recover itself”</w:t>
      </w:r>
      <w:r>
        <w:t>.</w:t>
      </w:r>
      <w:r w:rsidR="005C3ABA">
        <w:t xml:space="preserve"> In other words, if the best estimate from the model is actually reality, and the types of data fitted are generated from that reality (operating model) and then fitted using the original estimator, how do the distributions of results correspond to the underlying values of the operating model.</w:t>
      </w:r>
    </w:p>
    <w:p w:rsidR="00B4315F" w:rsidRDefault="00B4315F" w:rsidP="0026690C">
      <w:pPr>
        <w:pStyle w:val="Heading1"/>
      </w:pPr>
      <w:r>
        <w:t>Method</w:t>
      </w:r>
      <w:r w:rsidR="00BD125C">
        <w:t xml:space="preserve"> and results</w:t>
      </w:r>
    </w:p>
    <w:p w:rsidR="002F74E1" w:rsidRDefault="00B4315F" w:rsidP="0026690C">
      <w:pPr>
        <w:rPr>
          <w:lang w:val="en-US" w:bidi="en-US"/>
        </w:rPr>
      </w:pPr>
      <w:r>
        <w:rPr>
          <w:lang w:val="en-US" w:bidi="en-US"/>
        </w:rPr>
        <w:t xml:space="preserve">The estimator tested is the penguin population model described in </w:t>
      </w:r>
      <w:r>
        <w:t xml:space="preserve">MARAM IWS/DEC10/PA/P6 with the logistic transformation. </w:t>
      </w:r>
      <w:r w:rsidR="00320BCF">
        <w:t xml:space="preserve">The maximum </w:t>
      </w:r>
      <w:r w:rsidR="00613EDA">
        <w:t xml:space="preserve">penalized </w:t>
      </w:r>
      <w:r w:rsidR="00320BCF">
        <w:t>likelihood estimates of the adult female moult counts</w:t>
      </w:r>
      <w:r w:rsidR="00FF5B9B">
        <w:t xml:space="preserve"> </w:t>
      </w:r>
      <w:r w:rsidR="00FF5B9B" w:rsidRPr="00FF5B9B">
        <w:rPr>
          <w:position w:val="-14"/>
        </w:rPr>
        <w:object w:dxaOrig="3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20.75pt" o:ole="">
            <v:imagedata r:id="rId7" o:title=""/>
          </v:shape>
          <o:OLEObject Type="Embed" ProgID="Equation.DSMT4" ShapeID="_x0000_i1025" DrawAspect="Content" ObjectID="_1352197680" r:id="rId8"/>
        </w:object>
      </w:r>
      <w:r w:rsidR="00320BCF">
        <w:t xml:space="preserve"> and the proportion of immature birds in </w:t>
      </w:r>
      <w:r w:rsidR="00320BCF" w:rsidRPr="0026690C">
        <w:t>the</w:t>
      </w:r>
      <w:r w:rsidR="00320BCF">
        <w:t xml:space="preserve"> moult counts</w:t>
      </w:r>
      <w:r w:rsidR="00FF5B9B">
        <w:t xml:space="preserve"> </w:t>
      </w:r>
      <w:r w:rsidR="00FF5B9B" w:rsidRPr="00FF5B9B">
        <w:rPr>
          <w:position w:val="-14"/>
        </w:rPr>
        <w:object w:dxaOrig="300" w:dyaOrig="420">
          <v:shape id="_x0000_i1026" type="#_x0000_t75" style="width:15pt;height:20.75pt" o:ole="">
            <v:imagedata r:id="rId9" o:title=""/>
          </v:shape>
          <o:OLEObject Type="Embed" ProgID="Equation.DSMT4" ShapeID="_x0000_i1026" DrawAspect="Content" ObjectID="_1352197681" r:id="rId10"/>
        </w:object>
      </w:r>
      <w:r w:rsidR="00320BCF">
        <w:t xml:space="preserve"> are input to the bootstrap routine. </w:t>
      </w:r>
      <w:r w:rsidR="002F74E1">
        <w:rPr>
          <w:lang w:val="en-US" w:bidi="en-US"/>
        </w:rPr>
        <w:t>Pseudo-data</w:t>
      </w:r>
      <w:r w:rsidR="007F1D12">
        <w:rPr>
          <w:lang w:val="en-US" w:bidi="en-US"/>
        </w:rPr>
        <w:t>sets</w:t>
      </w:r>
      <w:r w:rsidR="002F74E1">
        <w:rPr>
          <w:lang w:val="en-US" w:bidi="en-US"/>
        </w:rPr>
        <w:t xml:space="preserve"> </w:t>
      </w:r>
      <w:r w:rsidR="007F1D12">
        <w:rPr>
          <w:lang w:val="en-US" w:bidi="en-US"/>
        </w:rPr>
        <w:t>are</w:t>
      </w:r>
      <w:r w:rsidR="002F74E1">
        <w:rPr>
          <w:lang w:val="en-US" w:bidi="en-US"/>
        </w:rPr>
        <w:t xml:space="preserve"> then generated from the best estimates as follows:</w:t>
      </w:r>
    </w:p>
    <w:p w:rsidR="002F74E1" w:rsidRDefault="002F74E1" w:rsidP="0026690C">
      <w:pPr>
        <w:pStyle w:val="MTDisplayEquation"/>
      </w:pPr>
      <w:r>
        <w:tab/>
      </w:r>
      <w:r w:rsidR="00BC437C" w:rsidRPr="006624DC">
        <w:rPr>
          <w:position w:val="-40"/>
        </w:rPr>
        <w:object w:dxaOrig="3640" w:dyaOrig="920">
          <v:shape id="_x0000_i1027" type="#_x0000_t75" style="width:182pt;height:45.5pt" o:ole="">
            <v:imagedata r:id="rId11" o:title=""/>
          </v:shape>
          <o:OLEObject Type="Embed" ProgID="Equation.DSMT4" ShapeID="_x0000_i1027" DrawAspect="Content" ObjectID="_1352197682" r:id="rId12"/>
        </w:object>
      </w:r>
      <w:r>
        <w:tab/>
      </w:r>
      <w:r w:rsidR="00E259A4">
        <w:fldChar w:fldCharType="begin"/>
      </w:r>
      <w:r>
        <w:instrText xml:space="preserve"> MACROBUTTON MTPlaceRef \* MERGEFORMAT </w:instrText>
      </w:r>
      <w:r w:rsidR="00E259A4">
        <w:fldChar w:fldCharType="begin"/>
      </w:r>
      <w:r>
        <w:instrText xml:space="preserve"> SEQ MTEqn \h \* MERGEFORMAT </w:instrText>
      </w:r>
      <w:r w:rsidR="00E259A4">
        <w:fldChar w:fldCharType="end"/>
      </w:r>
      <w:r>
        <w:instrText>(</w:instrText>
      </w:r>
      <w:fldSimple w:instr=" SEQ MTEqn \c \* Arabic \* MERGEFORMAT ">
        <w:r w:rsidR="00EB48F0">
          <w:rPr>
            <w:noProof/>
          </w:rPr>
          <w:instrText>1</w:instrText>
        </w:r>
      </w:fldSimple>
      <w:r>
        <w:instrText>)</w:instrText>
      </w:r>
      <w:r w:rsidR="00E259A4">
        <w:fldChar w:fldCharType="end"/>
      </w:r>
    </w:p>
    <w:p w:rsidR="00527376" w:rsidRDefault="00527376" w:rsidP="0026690C">
      <w:r>
        <w:t xml:space="preserve">The standard </w:t>
      </w:r>
      <w:r w:rsidR="00BC437C">
        <w:t>deviations</w:t>
      </w:r>
      <w:r>
        <w:t xml:space="preserve"> are the same as those used in the estimator: </w:t>
      </w:r>
      <w:r w:rsidRPr="00527376">
        <w:rPr>
          <w:position w:val="-12"/>
        </w:rPr>
        <w:object w:dxaOrig="940" w:dyaOrig="360">
          <v:shape id="_x0000_i1028" type="#_x0000_t75" style="width:47.25pt;height:17.85pt" o:ole="">
            <v:imagedata r:id="rId13" o:title=""/>
          </v:shape>
          <o:OLEObject Type="Embed" ProgID="Equation.DSMT4" ShapeID="_x0000_i1028" DrawAspect="Content" ObjectID="_1352197683" r:id="rId14"/>
        </w:object>
      </w:r>
      <w:r w:rsidR="00613EDA">
        <w:t xml:space="preserve"> and </w:t>
      </w:r>
      <w:r w:rsidR="00613EDA" w:rsidRPr="00613EDA">
        <w:rPr>
          <w:position w:val="-12"/>
        </w:rPr>
        <w:object w:dxaOrig="859" w:dyaOrig="360">
          <v:shape id="_x0000_i1029" type="#_x0000_t75" style="width:43.2pt;height:17.85pt" o:ole="">
            <v:imagedata r:id="rId15" o:title=""/>
          </v:shape>
          <o:OLEObject Type="Embed" ProgID="Equation.DSMT4" ShapeID="_x0000_i1029" DrawAspect="Content" ObjectID="_1352197684" r:id="rId16"/>
        </w:object>
      </w:r>
      <w:r w:rsidR="00613EDA">
        <w:t>.</w:t>
      </w:r>
      <w:r w:rsidR="00BB26F0">
        <w:t xml:space="preserve"> Note that the lower estimates from the model fit residuals are not used because they are negatively biased as a result of the relatively few degrees of freedom for the penalized maximum likelihood estimate used.</w:t>
      </w:r>
    </w:p>
    <w:p w:rsidR="006624DC" w:rsidRDefault="006624DC" w:rsidP="0026690C">
      <w:pPr>
        <w:rPr>
          <w:lang w:val="en-US" w:bidi="en-US"/>
        </w:rPr>
      </w:pPr>
      <w:r>
        <w:rPr>
          <w:lang w:val="en-US" w:bidi="en-US"/>
        </w:rPr>
        <w:t xml:space="preserve">The estimator then finds the best fit to each pseudo-dataset. The distributions of the estimated </w:t>
      </w:r>
      <w:r w:rsidRPr="006624DC">
        <w:rPr>
          <w:position w:val="-10"/>
          <w:lang w:val="en-US" w:bidi="en-US"/>
        </w:rPr>
        <w:object w:dxaOrig="240" w:dyaOrig="260">
          <v:shape id="_x0000_i1030" type="#_x0000_t75" style="width:12.1pt;height:13.25pt" o:ole="">
            <v:imagedata r:id="rId17" o:title=""/>
          </v:shape>
          <o:OLEObject Type="Embed" ProgID="Equation.DSMT4" ShapeID="_x0000_i1030" DrawAspect="Content" ObjectID="_1352197685" r:id="rId18"/>
        </w:object>
      </w:r>
      <w:r>
        <w:rPr>
          <w:lang w:val="en-US" w:bidi="en-US"/>
        </w:rPr>
        <w:t xml:space="preserve"> and </w:t>
      </w:r>
      <w:r w:rsidRPr="006624DC">
        <w:rPr>
          <w:position w:val="-10"/>
          <w:lang w:val="en-US" w:bidi="en-US"/>
        </w:rPr>
        <w:object w:dxaOrig="200" w:dyaOrig="260">
          <v:shape id="_x0000_i1031" type="#_x0000_t75" style="width:9.8pt;height:13.25pt" o:ole="">
            <v:imagedata r:id="rId19" o:title=""/>
          </v:shape>
          <o:OLEObject Type="Embed" ProgID="Equation.DSMT4" ShapeID="_x0000_i1031" DrawAspect="Content" ObjectID="_1352197686" r:id="rId20"/>
        </w:object>
      </w:r>
      <w:r>
        <w:rPr>
          <w:lang w:val="en-US" w:bidi="en-US"/>
        </w:rPr>
        <w:t xml:space="preserve"> parameters are </w:t>
      </w:r>
      <w:r w:rsidR="00E447AC">
        <w:rPr>
          <w:lang w:val="en-US" w:bidi="en-US"/>
        </w:rPr>
        <w:t xml:space="preserve">shown in </w:t>
      </w:r>
      <w:r w:rsidR="00E259A4">
        <w:rPr>
          <w:lang w:val="en-US" w:bidi="en-US"/>
        </w:rPr>
        <w:fldChar w:fldCharType="begin"/>
      </w:r>
      <w:r w:rsidR="00E447AC">
        <w:rPr>
          <w:lang w:val="en-US" w:bidi="en-US"/>
        </w:rPr>
        <w:instrText xml:space="preserve"> REF _Ref278373342 \h </w:instrText>
      </w:r>
      <w:r w:rsidR="00E259A4">
        <w:rPr>
          <w:lang w:val="en-US" w:bidi="en-US"/>
        </w:rPr>
      </w:r>
      <w:r w:rsidR="00E259A4">
        <w:rPr>
          <w:lang w:val="en-US" w:bidi="en-US"/>
        </w:rPr>
        <w:fldChar w:fldCharType="separate"/>
      </w:r>
      <w:r w:rsidR="00EB48F0">
        <w:t xml:space="preserve">Figure </w:t>
      </w:r>
      <w:r w:rsidR="00EB48F0">
        <w:rPr>
          <w:noProof/>
        </w:rPr>
        <w:t>1</w:t>
      </w:r>
      <w:r w:rsidR="00E259A4">
        <w:rPr>
          <w:lang w:val="en-US" w:bidi="en-US"/>
        </w:rPr>
        <w:fldChar w:fldCharType="end"/>
      </w:r>
      <w:r w:rsidR="00E447AC">
        <w:rPr>
          <w:lang w:val="en-US" w:bidi="en-US"/>
        </w:rPr>
        <w:t xml:space="preserve">. The spread of estimated values for the time series of adult female moult counts, juvenile proportions in the counts, annual survival and reproductive success are displayed in </w:t>
      </w:r>
      <w:r w:rsidR="00E259A4">
        <w:rPr>
          <w:lang w:val="en-US" w:bidi="en-US"/>
        </w:rPr>
        <w:fldChar w:fldCharType="begin"/>
      </w:r>
      <w:r w:rsidR="00E447AC">
        <w:rPr>
          <w:lang w:val="en-US" w:bidi="en-US"/>
        </w:rPr>
        <w:instrText xml:space="preserve"> REF _Ref278373506 \h </w:instrText>
      </w:r>
      <w:r w:rsidR="00E259A4">
        <w:rPr>
          <w:lang w:val="en-US" w:bidi="en-US"/>
        </w:rPr>
      </w:r>
      <w:r w:rsidR="00E259A4">
        <w:rPr>
          <w:lang w:val="en-US" w:bidi="en-US"/>
        </w:rPr>
        <w:fldChar w:fldCharType="separate"/>
      </w:r>
      <w:r w:rsidR="00EB48F0">
        <w:t xml:space="preserve">Figure </w:t>
      </w:r>
      <w:r w:rsidR="00EB48F0">
        <w:rPr>
          <w:noProof/>
        </w:rPr>
        <w:t>2</w:t>
      </w:r>
      <w:r w:rsidR="00E259A4">
        <w:rPr>
          <w:lang w:val="en-US" w:bidi="en-US"/>
        </w:rPr>
        <w:fldChar w:fldCharType="end"/>
      </w:r>
      <w:r w:rsidR="00E447AC">
        <w:rPr>
          <w:lang w:val="en-US" w:bidi="en-US"/>
        </w:rPr>
        <w:t xml:space="preserve"> to </w:t>
      </w:r>
      <w:r w:rsidR="00E259A4">
        <w:rPr>
          <w:lang w:val="en-US" w:bidi="en-US"/>
        </w:rPr>
        <w:fldChar w:fldCharType="begin"/>
      </w:r>
      <w:r w:rsidR="00E447AC">
        <w:rPr>
          <w:lang w:val="en-US" w:bidi="en-US"/>
        </w:rPr>
        <w:instrText xml:space="preserve"> REF _Ref278373514 \h </w:instrText>
      </w:r>
      <w:r w:rsidR="00E259A4">
        <w:rPr>
          <w:lang w:val="en-US" w:bidi="en-US"/>
        </w:rPr>
      </w:r>
      <w:r w:rsidR="00E259A4">
        <w:rPr>
          <w:lang w:val="en-US" w:bidi="en-US"/>
        </w:rPr>
        <w:fldChar w:fldCharType="separate"/>
      </w:r>
      <w:r w:rsidR="00EB48F0">
        <w:t xml:space="preserve">Figure </w:t>
      </w:r>
      <w:r w:rsidR="00EB48F0">
        <w:rPr>
          <w:noProof/>
        </w:rPr>
        <w:t>5</w:t>
      </w:r>
      <w:r w:rsidR="00E259A4">
        <w:rPr>
          <w:lang w:val="en-US" w:bidi="en-US"/>
        </w:rPr>
        <w:fldChar w:fldCharType="end"/>
      </w:r>
      <w:r w:rsidR="00E447AC">
        <w:rPr>
          <w:lang w:val="en-US" w:bidi="en-US"/>
        </w:rPr>
        <w:t>.</w:t>
      </w:r>
    </w:p>
    <w:p w:rsidR="005C3ABA" w:rsidRPr="006624DC" w:rsidRDefault="005C3ABA" w:rsidP="0026690C">
      <w:pPr>
        <w:rPr>
          <w:lang w:val="en-US" w:bidi="en-US"/>
        </w:rPr>
      </w:pPr>
      <w:r>
        <w:rPr>
          <w:lang w:val="en-US" w:bidi="en-US"/>
        </w:rPr>
        <w:t>This process is identical to a standard parametric bootstrap procedure, which is implemented here to check for bias in the estimator.</w:t>
      </w:r>
    </w:p>
    <w:p w:rsidR="00A71A22" w:rsidRDefault="00A71A22" w:rsidP="0026690C">
      <w:pPr>
        <w:pStyle w:val="Heading1"/>
      </w:pPr>
      <w:r>
        <w:lastRenderedPageBreak/>
        <w:t>Discussion</w:t>
      </w:r>
    </w:p>
    <w:p w:rsidR="00A71A22" w:rsidRDefault="00E447AC" w:rsidP="0026690C">
      <w:pPr>
        <w:rPr>
          <w:lang w:bidi="en-US"/>
        </w:rPr>
      </w:pPr>
      <w:r>
        <w:rPr>
          <w:lang w:val="en-US" w:bidi="en-US"/>
        </w:rPr>
        <w:t xml:space="preserve">Of key interest are the </w:t>
      </w:r>
      <w:r w:rsidRPr="00E447AC">
        <w:rPr>
          <w:position w:val="-10"/>
          <w:lang w:val="en-US" w:bidi="en-US"/>
        </w:rPr>
        <w:object w:dxaOrig="240" w:dyaOrig="260">
          <v:shape id="_x0000_i1032" type="#_x0000_t75" style="width:12.1pt;height:13.25pt" o:ole="">
            <v:imagedata r:id="rId21" o:title=""/>
          </v:shape>
          <o:OLEObject Type="Embed" ProgID="Equation.DSMT4" ShapeID="_x0000_i1032" DrawAspect="Content" ObjectID="_1352197687" r:id="rId22"/>
        </w:object>
      </w:r>
      <w:r>
        <w:rPr>
          <w:lang w:val="en-US" w:bidi="en-US"/>
        </w:rPr>
        <w:t xml:space="preserve"> parameters which define the relationships in the model between demographic parameters and prey abundance. The upper plots in </w:t>
      </w:r>
      <w:r w:rsidR="00E259A4">
        <w:rPr>
          <w:lang w:val="en-US" w:bidi="en-US"/>
        </w:rPr>
        <w:fldChar w:fldCharType="begin"/>
      </w:r>
      <w:r>
        <w:rPr>
          <w:lang w:val="en-US" w:bidi="en-US"/>
        </w:rPr>
        <w:instrText xml:space="preserve"> REF _Ref278373342 \h </w:instrText>
      </w:r>
      <w:r w:rsidR="00E259A4">
        <w:rPr>
          <w:lang w:val="en-US" w:bidi="en-US"/>
        </w:rPr>
      </w:r>
      <w:r w:rsidR="00E259A4">
        <w:rPr>
          <w:lang w:val="en-US" w:bidi="en-US"/>
        </w:rPr>
        <w:fldChar w:fldCharType="separate"/>
      </w:r>
      <w:r w:rsidR="00EB48F0">
        <w:t xml:space="preserve">Figure </w:t>
      </w:r>
      <w:r w:rsidR="00EB48F0">
        <w:rPr>
          <w:noProof/>
        </w:rPr>
        <w:t>1</w:t>
      </w:r>
      <w:r w:rsidR="00E259A4">
        <w:rPr>
          <w:lang w:val="en-US" w:bidi="en-US"/>
        </w:rPr>
        <w:fldChar w:fldCharType="end"/>
      </w:r>
      <w:r>
        <w:rPr>
          <w:lang w:val="en-US" w:bidi="en-US"/>
        </w:rPr>
        <w:t xml:space="preserve"> show that the bootstrap distributions are </w:t>
      </w:r>
      <w:r w:rsidR="00F306BD">
        <w:rPr>
          <w:lang w:val="en-US" w:bidi="en-US"/>
        </w:rPr>
        <w:t xml:space="preserve">well </w:t>
      </w:r>
      <w:r w:rsidRPr="00E447AC">
        <w:rPr>
          <w:lang w:bidi="en-US"/>
        </w:rPr>
        <w:t>centred</w:t>
      </w:r>
      <w:r>
        <w:rPr>
          <w:lang w:bidi="en-US"/>
        </w:rPr>
        <w:t xml:space="preserve"> on the penalized maximum likelihood estimate</w:t>
      </w:r>
      <w:r w:rsidR="00F306BD">
        <w:rPr>
          <w:lang w:bidi="en-US"/>
        </w:rPr>
        <w:t>s</w:t>
      </w:r>
      <w:r>
        <w:rPr>
          <w:lang w:bidi="en-US"/>
        </w:rPr>
        <w:t xml:space="preserve">, indicating </w:t>
      </w:r>
      <w:r w:rsidR="00F306BD">
        <w:rPr>
          <w:lang w:bidi="en-US"/>
        </w:rPr>
        <w:t>minimal</w:t>
      </w:r>
      <w:r>
        <w:rPr>
          <w:lang w:bidi="en-US"/>
        </w:rPr>
        <w:t xml:space="preserve"> bias in the estimator.</w:t>
      </w:r>
    </w:p>
    <w:p w:rsidR="00F306BD" w:rsidRDefault="00F306BD" w:rsidP="0026690C">
      <w:pPr>
        <w:rPr>
          <w:lang w:val="en-US" w:bidi="en-US"/>
        </w:rPr>
      </w:pPr>
      <w:r>
        <w:rPr>
          <w:lang w:bidi="en-US"/>
        </w:rPr>
        <w:t>Note that this process has considered the effects of observation errors in the moult count data</w:t>
      </w:r>
      <w:r w:rsidR="00BB26F0" w:rsidRPr="00BB26F0">
        <w:rPr>
          <w:lang w:bidi="en-US"/>
        </w:rPr>
        <w:t xml:space="preserve"> </w:t>
      </w:r>
      <w:r w:rsidR="00BB26F0">
        <w:rPr>
          <w:lang w:bidi="en-US"/>
        </w:rPr>
        <w:t>only</w:t>
      </w:r>
      <w:r>
        <w:rPr>
          <w:lang w:bidi="en-US"/>
        </w:rPr>
        <w:t>. A more comprehensive test would need to consider also alternative realisations of the random effects for the underlying operating model.</w:t>
      </w:r>
    </w:p>
    <w:p w:rsidR="0040020C" w:rsidRDefault="00BD125C" w:rsidP="0026690C">
      <w:pPr>
        <w:pStyle w:val="Heading1"/>
      </w:pPr>
      <w:r>
        <w:t>Reference</w:t>
      </w:r>
    </w:p>
    <w:p w:rsidR="00A71A22" w:rsidRDefault="0040020C" w:rsidP="0026690C">
      <w:pPr>
        <w:rPr>
          <w:rFonts w:asciiTheme="majorHAnsi" w:eastAsiaTheme="majorEastAsia" w:hAnsiTheme="majorHAnsi" w:cstheme="majorBidi"/>
          <w:b/>
          <w:bCs/>
          <w:sz w:val="28"/>
          <w:szCs w:val="28"/>
          <w:lang w:val="en-US" w:bidi="en-US"/>
        </w:rPr>
      </w:pPr>
      <w:r>
        <w:t>MARAM IWS/DEC10/PA/P6. Robinson W, Butterworth DS. 2010. Penguin population models for Robben Island.</w:t>
      </w:r>
    </w:p>
    <w:p w:rsidR="00A71A22" w:rsidRDefault="00A71A22" w:rsidP="0026690C">
      <w:pPr>
        <w:pStyle w:val="Heading1"/>
      </w:pPr>
      <w:r>
        <w:t>Figures</w:t>
      </w:r>
    </w:p>
    <w:p w:rsidR="00A71A22" w:rsidRDefault="00A71A22" w:rsidP="0026690C">
      <w:pPr>
        <w:rPr>
          <w:lang w:val="en-US" w:bidi="en-US"/>
        </w:rPr>
      </w:pPr>
    </w:p>
    <w:p w:rsidR="00A71A22" w:rsidRDefault="00613EDA" w:rsidP="0026690C">
      <w:pPr>
        <w:rPr>
          <w:noProof/>
          <w:lang w:val="en-GB" w:eastAsia="en-GB"/>
        </w:rPr>
      </w:pPr>
      <w:r w:rsidRPr="00613EDA">
        <w:rPr>
          <w:noProof/>
          <w:lang w:val="en-GB" w:eastAsia="en-GB"/>
        </w:rPr>
        <w:drawing>
          <wp:inline distT="0" distB="0" distL="0" distR="0">
            <wp:extent cx="2797658" cy="1690925"/>
            <wp:effectExtent l="19050" t="0" r="21742" b="4525"/>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613EDA">
        <w:rPr>
          <w:noProof/>
          <w:lang w:val="en-GB" w:eastAsia="en-GB"/>
        </w:rPr>
        <w:t xml:space="preserve"> </w:t>
      </w:r>
      <w:r w:rsidRPr="00613EDA">
        <w:rPr>
          <w:noProof/>
          <w:lang w:val="en-GB" w:eastAsia="en-GB"/>
        </w:rPr>
        <w:drawing>
          <wp:inline distT="0" distB="0" distL="0" distR="0">
            <wp:extent cx="2797658" cy="1681930"/>
            <wp:effectExtent l="19050" t="0" r="21742"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13EDA" w:rsidRDefault="00613EDA" w:rsidP="0026690C">
      <w:pPr>
        <w:rPr>
          <w:lang w:val="en-US" w:bidi="en-US"/>
        </w:rPr>
      </w:pPr>
      <w:r w:rsidRPr="00613EDA">
        <w:rPr>
          <w:noProof/>
          <w:lang w:val="en-GB" w:eastAsia="en-GB"/>
        </w:rPr>
        <w:drawing>
          <wp:inline distT="0" distB="0" distL="0" distR="0">
            <wp:extent cx="2797658" cy="1690924"/>
            <wp:effectExtent l="19050" t="0" r="21742" b="4526"/>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613EDA">
        <w:rPr>
          <w:noProof/>
          <w:lang w:val="en-GB" w:eastAsia="en-GB"/>
        </w:rPr>
        <w:t xml:space="preserve"> </w:t>
      </w:r>
      <w:r w:rsidRPr="00613EDA">
        <w:rPr>
          <w:noProof/>
          <w:lang w:val="en-GB" w:eastAsia="en-GB"/>
        </w:rPr>
        <w:drawing>
          <wp:inline distT="0" distB="0" distL="0" distR="0">
            <wp:extent cx="2797658" cy="1681930"/>
            <wp:effectExtent l="19050" t="0" r="21742"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E3C70" w:rsidRDefault="004E3C70" w:rsidP="0026690C">
      <w:pPr>
        <w:pStyle w:val="Caption"/>
      </w:pPr>
      <w:bookmarkStart w:id="0" w:name="_Ref278373342"/>
      <w:bookmarkStart w:id="1" w:name="_Ref278373337"/>
      <w:r>
        <w:t xml:space="preserve">Figure </w:t>
      </w:r>
      <w:fldSimple w:instr=" SEQ Figure \* ARABIC ">
        <w:r w:rsidR="00EB48F0">
          <w:rPr>
            <w:noProof/>
          </w:rPr>
          <w:t>1</w:t>
        </w:r>
      </w:fldSimple>
      <w:bookmarkEnd w:id="0"/>
      <w:r>
        <w:t>: Distributions of the parameter estimates for the relationships with fish abundance obtained from the bootstrapped data. The “true” values are indicated by dashed lines.</w:t>
      </w:r>
      <w:bookmarkEnd w:id="1"/>
    </w:p>
    <w:p w:rsidR="0040020C" w:rsidRDefault="0040020C" w:rsidP="0026690C">
      <w:pPr>
        <w:rPr>
          <w:lang w:val="en-US" w:bidi="en-US"/>
        </w:rPr>
      </w:pPr>
      <w:r>
        <w:rPr>
          <w:lang w:val="en-US" w:bidi="en-US"/>
        </w:rPr>
        <w:br w:type="page"/>
      </w:r>
    </w:p>
    <w:p w:rsidR="004E3C70" w:rsidRDefault="00613EDA" w:rsidP="0026690C">
      <w:pPr>
        <w:rPr>
          <w:lang w:val="en-US" w:bidi="en-US"/>
        </w:rPr>
      </w:pPr>
      <w:r w:rsidRPr="00613EDA">
        <w:rPr>
          <w:noProof/>
          <w:lang w:val="en-GB" w:eastAsia="en-GB"/>
        </w:rPr>
        <w:lastRenderedPageBreak/>
        <w:drawing>
          <wp:inline distT="0" distB="0" distL="0" distR="0">
            <wp:extent cx="5700192" cy="3421421"/>
            <wp:effectExtent l="19050" t="0" r="14808" b="7579"/>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0020C" w:rsidRDefault="0040020C" w:rsidP="0026690C">
      <w:pPr>
        <w:pStyle w:val="Caption"/>
      </w:pPr>
      <w:bookmarkStart w:id="2" w:name="_Ref278373506"/>
      <w:r>
        <w:t xml:space="preserve">Figure </w:t>
      </w:r>
      <w:fldSimple w:instr=" SEQ Figure \* ARABIC ">
        <w:r w:rsidR="00EB48F0">
          <w:rPr>
            <w:noProof/>
          </w:rPr>
          <w:t>2</w:t>
        </w:r>
      </w:fldSimple>
      <w:bookmarkEnd w:id="2"/>
      <w:r>
        <w:t>: 5th percentile, median and 95</w:t>
      </w:r>
      <w:r w:rsidRPr="0040020C">
        <w:t>th</w:t>
      </w:r>
      <w:r>
        <w:t xml:space="preserve"> percentile of the estimated </w:t>
      </w:r>
      <w:r w:rsidR="00320BCF">
        <w:t xml:space="preserve">adult </w:t>
      </w:r>
      <w:r>
        <w:t xml:space="preserve">female moult counts from the bootstrapped data. The dashed line indicates the maximum </w:t>
      </w:r>
      <w:r w:rsidR="0073301F">
        <w:t xml:space="preserve">penalized </w:t>
      </w:r>
      <w:r>
        <w:t>likelihood estimates.</w:t>
      </w:r>
    </w:p>
    <w:p w:rsidR="0040020C" w:rsidRPr="0040020C" w:rsidRDefault="0040020C" w:rsidP="0026690C">
      <w:pPr>
        <w:rPr>
          <w:lang w:val="en-US" w:bidi="en-US"/>
        </w:rPr>
      </w:pPr>
    </w:p>
    <w:p w:rsidR="0040020C" w:rsidRDefault="00613EDA" w:rsidP="0026690C">
      <w:pPr>
        <w:rPr>
          <w:lang w:val="en-US" w:bidi="en-US"/>
        </w:rPr>
      </w:pPr>
      <w:r w:rsidRPr="00613EDA">
        <w:rPr>
          <w:noProof/>
          <w:lang w:val="en-GB" w:eastAsia="en-GB"/>
        </w:rPr>
        <w:drawing>
          <wp:inline distT="0" distB="0" distL="0" distR="0">
            <wp:extent cx="5728330" cy="3438144"/>
            <wp:effectExtent l="19050" t="0" r="24770" b="0"/>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0020C" w:rsidRDefault="0040020C" w:rsidP="0026690C">
      <w:pPr>
        <w:pStyle w:val="Caption"/>
      </w:pPr>
      <w:r>
        <w:t xml:space="preserve">Figure </w:t>
      </w:r>
      <w:fldSimple w:instr=" SEQ Figure \* ARABIC ">
        <w:r w:rsidR="00EB48F0">
          <w:rPr>
            <w:noProof/>
          </w:rPr>
          <w:t>3</w:t>
        </w:r>
      </w:fldSimple>
      <w:r>
        <w:t>: 5th percentile, median and 95</w:t>
      </w:r>
      <w:r w:rsidRPr="0040020C">
        <w:t>th</w:t>
      </w:r>
      <w:r>
        <w:t xml:space="preserve"> percentile of the estimated proportion of immature penguins in the moult counts from the bootstrapped data. The dashed line indicates the maximum </w:t>
      </w:r>
      <w:r w:rsidR="0073301F">
        <w:t xml:space="preserve">penalized </w:t>
      </w:r>
      <w:r>
        <w:t>likelihood estimates.</w:t>
      </w:r>
    </w:p>
    <w:p w:rsidR="0040020C" w:rsidRDefault="0040020C" w:rsidP="0026690C">
      <w:pPr>
        <w:rPr>
          <w:lang w:val="en-US" w:bidi="en-US"/>
        </w:rPr>
      </w:pPr>
    </w:p>
    <w:p w:rsidR="0040020C" w:rsidRDefault="00613EDA" w:rsidP="0026690C">
      <w:pPr>
        <w:rPr>
          <w:lang w:val="en-US" w:bidi="en-US"/>
        </w:rPr>
      </w:pPr>
      <w:r w:rsidRPr="00613EDA">
        <w:rPr>
          <w:noProof/>
          <w:lang w:val="en-GB" w:eastAsia="en-GB"/>
        </w:rPr>
        <w:lastRenderedPageBreak/>
        <w:drawing>
          <wp:inline distT="0" distB="0" distL="0" distR="0">
            <wp:extent cx="5716142" cy="3430829"/>
            <wp:effectExtent l="19050" t="0" r="17908" b="0"/>
            <wp:docPr id="1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0020C" w:rsidRDefault="0040020C" w:rsidP="0026690C">
      <w:pPr>
        <w:pStyle w:val="Caption"/>
      </w:pPr>
      <w:r>
        <w:t xml:space="preserve">Figure </w:t>
      </w:r>
      <w:fldSimple w:instr=" SEQ Figure \* ARABIC ">
        <w:r w:rsidR="00EB48F0">
          <w:rPr>
            <w:noProof/>
          </w:rPr>
          <w:t>4</w:t>
        </w:r>
      </w:fldSimple>
      <w:r>
        <w:t>: 5th percentile, median and 95</w:t>
      </w:r>
      <w:r w:rsidRPr="0040020C">
        <w:t>th</w:t>
      </w:r>
      <w:r>
        <w:t xml:space="preserve"> percentile of the estimated annual adult penguin survival rates from the bootstrapped data. The dashed line indicates the maximum </w:t>
      </w:r>
      <w:r w:rsidR="0073301F">
        <w:t xml:space="preserve">penalized </w:t>
      </w:r>
      <w:r>
        <w:t>likelihood estimates.</w:t>
      </w:r>
    </w:p>
    <w:p w:rsidR="0040020C" w:rsidRPr="0040020C" w:rsidRDefault="0040020C" w:rsidP="0026690C">
      <w:pPr>
        <w:pStyle w:val="Caption"/>
      </w:pPr>
    </w:p>
    <w:p w:rsidR="0040020C" w:rsidRDefault="00613EDA" w:rsidP="0026690C">
      <w:pPr>
        <w:pStyle w:val="Caption"/>
      </w:pPr>
      <w:r w:rsidRPr="00613EDA">
        <w:rPr>
          <w:noProof/>
          <w:lang w:val="en-GB" w:eastAsia="en-GB" w:bidi="ar-SA"/>
        </w:rPr>
        <w:drawing>
          <wp:inline distT="0" distB="0" distL="0" distR="0">
            <wp:extent cx="5703953" cy="3423513"/>
            <wp:effectExtent l="19050" t="0" r="11047" b="5487"/>
            <wp:docPr id="1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0020C" w:rsidRPr="0040020C" w:rsidRDefault="0040020C" w:rsidP="0026690C">
      <w:pPr>
        <w:pStyle w:val="Caption"/>
      </w:pPr>
      <w:bookmarkStart w:id="3" w:name="_Ref278373514"/>
      <w:r>
        <w:t xml:space="preserve">Figure </w:t>
      </w:r>
      <w:fldSimple w:instr=" SEQ Figure \* ARABIC ">
        <w:r w:rsidR="00EB48F0">
          <w:rPr>
            <w:noProof/>
          </w:rPr>
          <w:t>5</w:t>
        </w:r>
      </w:fldSimple>
      <w:bookmarkEnd w:id="3"/>
      <w:r>
        <w:t>: 5th percentile, median and 95</w:t>
      </w:r>
      <w:r w:rsidRPr="0040020C">
        <w:t>th</w:t>
      </w:r>
      <w:r>
        <w:t xml:space="preserve"> percentile of the estimated annual penguin reproductive success rates from the bootstrapped data. The dashed line indicates the maximum </w:t>
      </w:r>
      <w:r w:rsidR="0073301F">
        <w:t xml:space="preserve">penalized </w:t>
      </w:r>
      <w:r>
        <w:t>likelihood estimates.</w:t>
      </w:r>
    </w:p>
    <w:sectPr w:rsidR="0040020C" w:rsidRPr="0040020C" w:rsidSect="00A37ED8">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EBC" w:rsidRDefault="004F2EBC" w:rsidP="0026690C">
      <w:r>
        <w:separator/>
      </w:r>
    </w:p>
  </w:endnote>
  <w:endnote w:type="continuationSeparator" w:id="0">
    <w:p w:rsidR="004F2EBC" w:rsidRDefault="004F2EBC" w:rsidP="002669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5751"/>
      <w:docPartObj>
        <w:docPartGallery w:val="Page Numbers (Bottom of Page)"/>
        <w:docPartUnique/>
      </w:docPartObj>
    </w:sdtPr>
    <w:sdtContent>
      <w:p w:rsidR="00F306BD" w:rsidRDefault="00E259A4">
        <w:pPr>
          <w:pStyle w:val="Footer"/>
          <w:jc w:val="center"/>
        </w:pPr>
        <w:fldSimple w:instr=" PAGE   \* MERGEFORMAT ">
          <w:r w:rsidR="00EB48F0">
            <w:rPr>
              <w:noProof/>
            </w:rPr>
            <w:t>1</w:t>
          </w:r>
        </w:fldSimple>
      </w:p>
    </w:sdtContent>
  </w:sdt>
  <w:p w:rsidR="00F306BD" w:rsidRDefault="00F30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EBC" w:rsidRDefault="004F2EBC" w:rsidP="0026690C">
      <w:r>
        <w:separator/>
      </w:r>
    </w:p>
  </w:footnote>
  <w:footnote w:type="continuationSeparator" w:id="0">
    <w:p w:rsidR="004F2EBC" w:rsidRDefault="004F2EBC" w:rsidP="00266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6BD" w:rsidRDefault="00F306BD" w:rsidP="0026690C">
    <w:pPr>
      <w:pStyle w:val="Header"/>
    </w:pPr>
    <w:r>
      <w:ptab w:relativeTo="margin" w:alignment="center" w:leader="none"/>
    </w:r>
    <w:r>
      <w:ptab w:relativeTo="margin" w:alignment="right" w:leader="none"/>
    </w:r>
    <w:r>
      <w:t>MARAM IWS/DEC10/PA/P7</w:t>
    </w:r>
  </w:p>
  <w:p w:rsidR="00F306BD" w:rsidRDefault="00F306BD" w:rsidP="002669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5362"/>
  </w:hdrShapeDefaults>
  <w:footnotePr>
    <w:footnote w:id="-1"/>
    <w:footnote w:id="0"/>
  </w:footnotePr>
  <w:endnotePr>
    <w:endnote w:id="-1"/>
    <w:endnote w:id="0"/>
  </w:endnotePr>
  <w:compat/>
  <w:rsids>
    <w:rsidRoot w:val="003D65DC"/>
    <w:rsid w:val="00044193"/>
    <w:rsid w:val="0009135B"/>
    <w:rsid w:val="000C0EA7"/>
    <w:rsid w:val="001043E3"/>
    <w:rsid w:val="001620F6"/>
    <w:rsid w:val="00175558"/>
    <w:rsid w:val="002158DA"/>
    <w:rsid w:val="002172C4"/>
    <w:rsid w:val="0026690C"/>
    <w:rsid w:val="002F74E1"/>
    <w:rsid w:val="00320BCF"/>
    <w:rsid w:val="003546F5"/>
    <w:rsid w:val="00390543"/>
    <w:rsid w:val="003952EF"/>
    <w:rsid w:val="003C64BF"/>
    <w:rsid w:val="003D65DC"/>
    <w:rsid w:val="0040020C"/>
    <w:rsid w:val="00425753"/>
    <w:rsid w:val="004E3C70"/>
    <w:rsid w:val="004F2EBC"/>
    <w:rsid w:val="0051791A"/>
    <w:rsid w:val="00527376"/>
    <w:rsid w:val="00530991"/>
    <w:rsid w:val="005C1FCD"/>
    <w:rsid w:val="005C3ABA"/>
    <w:rsid w:val="006068CF"/>
    <w:rsid w:val="00613EDA"/>
    <w:rsid w:val="006624DC"/>
    <w:rsid w:val="00665C83"/>
    <w:rsid w:val="0073301F"/>
    <w:rsid w:val="007F1D12"/>
    <w:rsid w:val="00811565"/>
    <w:rsid w:val="00812848"/>
    <w:rsid w:val="008B34AB"/>
    <w:rsid w:val="00931B58"/>
    <w:rsid w:val="00943F5A"/>
    <w:rsid w:val="00995999"/>
    <w:rsid w:val="00A37ED8"/>
    <w:rsid w:val="00A6562D"/>
    <w:rsid w:val="00A71A22"/>
    <w:rsid w:val="00B26D13"/>
    <w:rsid w:val="00B4315F"/>
    <w:rsid w:val="00BB26F0"/>
    <w:rsid w:val="00BC437C"/>
    <w:rsid w:val="00BD125C"/>
    <w:rsid w:val="00C415E1"/>
    <w:rsid w:val="00C75E20"/>
    <w:rsid w:val="00DE2492"/>
    <w:rsid w:val="00E259A4"/>
    <w:rsid w:val="00E447AC"/>
    <w:rsid w:val="00EB48F0"/>
    <w:rsid w:val="00F306BD"/>
    <w:rsid w:val="00FB5442"/>
    <w:rsid w:val="00FD3516"/>
    <w:rsid w:val="00FF5B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0C"/>
    <w:pPr>
      <w:jc w:val="both"/>
    </w:pPr>
    <w:rPr>
      <w:lang w:val="en-ZA"/>
    </w:rPr>
  </w:style>
  <w:style w:type="paragraph" w:styleId="Heading1">
    <w:name w:val="heading 1"/>
    <w:basedOn w:val="Normal"/>
    <w:next w:val="Normal"/>
    <w:link w:val="Heading1Char"/>
    <w:uiPriority w:val="9"/>
    <w:qFormat/>
    <w:rsid w:val="003D65DC"/>
    <w:pPr>
      <w:keepNext/>
      <w:spacing w:before="480" w:after="0"/>
      <w:contextualSpacing/>
      <w:outlineLvl w:val="0"/>
    </w:pPr>
    <w:rPr>
      <w:rFonts w:asciiTheme="majorHAnsi" w:eastAsiaTheme="majorEastAsia" w:hAnsiTheme="majorHAnsi" w:cstheme="majorBidi"/>
      <w:b/>
      <w:bCs/>
      <w:sz w:val="28"/>
      <w:szCs w:val="28"/>
      <w:lang w:val="en-US" w:bidi="en-US"/>
    </w:rPr>
  </w:style>
  <w:style w:type="paragraph" w:styleId="Heading5">
    <w:name w:val="heading 5"/>
    <w:basedOn w:val="Normal"/>
    <w:next w:val="Normal"/>
    <w:link w:val="Heading5Char"/>
    <w:uiPriority w:val="9"/>
    <w:semiHidden/>
    <w:unhideWhenUsed/>
    <w:qFormat/>
    <w:rsid w:val="002669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E3C70"/>
    <w:pPr>
      <w:spacing w:line="240" w:lineRule="auto"/>
    </w:pPr>
    <w:rPr>
      <w:rFonts w:eastAsiaTheme="minorEastAsia"/>
      <w:bCs/>
      <w:color w:val="000000" w:themeColor="text1"/>
      <w:szCs w:val="18"/>
      <w:lang w:val="en-US" w:bidi="en-US"/>
    </w:rPr>
  </w:style>
  <w:style w:type="character" w:customStyle="1" w:styleId="Heading1Char">
    <w:name w:val="Heading 1 Char"/>
    <w:basedOn w:val="DefaultParagraphFont"/>
    <w:link w:val="Heading1"/>
    <w:uiPriority w:val="9"/>
    <w:rsid w:val="003D65DC"/>
    <w:rPr>
      <w:rFonts w:asciiTheme="majorHAnsi" w:eastAsiaTheme="majorEastAsia" w:hAnsiTheme="majorHAnsi" w:cstheme="majorBidi"/>
      <w:b/>
      <w:bCs/>
      <w:sz w:val="28"/>
      <w:szCs w:val="28"/>
      <w:lang w:val="en-US" w:bidi="en-US"/>
    </w:rPr>
  </w:style>
  <w:style w:type="paragraph" w:styleId="Title">
    <w:name w:val="Title"/>
    <w:basedOn w:val="Normal"/>
    <w:next w:val="Normal"/>
    <w:link w:val="TitleChar"/>
    <w:qFormat/>
    <w:rsid w:val="003D65DC"/>
    <w:pPr>
      <w:spacing w:line="240" w:lineRule="auto"/>
      <w:contextualSpacing/>
      <w:jc w:val="center"/>
    </w:pPr>
    <w:rPr>
      <w:rFonts w:asciiTheme="majorHAnsi" w:eastAsiaTheme="majorEastAsia" w:hAnsiTheme="majorHAnsi" w:cstheme="majorBidi"/>
      <w:b/>
      <w:spacing w:val="5"/>
      <w:sz w:val="32"/>
      <w:szCs w:val="52"/>
      <w:lang w:val="en-US" w:bidi="en-US"/>
    </w:rPr>
  </w:style>
  <w:style w:type="character" w:customStyle="1" w:styleId="TitleChar">
    <w:name w:val="Title Char"/>
    <w:basedOn w:val="DefaultParagraphFont"/>
    <w:link w:val="Title"/>
    <w:rsid w:val="003D65DC"/>
    <w:rPr>
      <w:rFonts w:asciiTheme="majorHAnsi" w:eastAsiaTheme="majorEastAsia" w:hAnsiTheme="majorHAnsi" w:cstheme="majorBidi"/>
      <w:b/>
      <w:spacing w:val="5"/>
      <w:sz w:val="32"/>
      <w:szCs w:val="52"/>
      <w:lang w:val="en-US" w:bidi="en-US"/>
    </w:rPr>
  </w:style>
  <w:style w:type="paragraph" w:styleId="NoSpacing">
    <w:name w:val="No Spacing"/>
    <w:basedOn w:val="Normal"/>
    <w:uiPriority w:val="1"/>
    <w:qFormat/>
    <w:rsid w:val="003D65DC"/>
    <w:pPr>
      <w:spacing w:after="0" w:line="240" w:lineRule="auto"/>
    </w:pPr>
    <w:rPr>
      <w:rFonts w:eastAsiaTheme="minorEastAsia"/>
      <w:color w:val="000000" w:themeColor="text1"/>
      <w:lang w:val="en-US" w:bidi="en-US"/>
    </w:rPr>
  </w:style>
  <w:style w:type="character" w:customStyle="1" w:styleId="MTEquationSection">
    <w:name w:val="MTEquationSection"/>
    <w:basedOn w:val="DefaultParagraphFont"/>
    <w:rsid w:val="003D65DC"/>
    <w:rPr>
      <w:vanish/>
      <w:color w:val="FF0000"/>
    </w:rPr>
  </w:style>
  <w:style w:type="paragraph" w:styleId="Header">
    <w:name w:val="header"/>
    <w:basedOn w:val="Normal"/>
    <w:link w:val="HeaderChar"/>
    <w:uiPriority w:val="99"/>
    <w:unhideWhenUsed/>
    <w:rsid w:val="003D6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5DC"/>
    <w:rPr>
      <w:lang w:val="en-ZA"/>
    </w:rPr>
  </w:style>
  <w:style w:type="paragraph" w:styleId="Footer">
    <w:name w:val="footer"/>
    <w:basedOn w:val="Normal"/>
    <w:link w:val="FooterChar"/>
    <w:uiPriority w:val="99"/>
    <w:unhideWhenUsed/>
    <w:rsid w:val="003D6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5DC"/>
    <w:rPr>
      <w:lang w:val="en-ZA"/>
    </w:rPr>
  </w:style>
  <w:style w:type="paragraph" w:styleId="BalloonText">
    <w:name w:val="Balloon Text"/>
    <w:basedOn w:val="Normal"/>
    <w:link w:val="BalloonTextChar"/>
    <w:uiPriority w:val="99"/>
    <w:semiHidden/>
    <w:unhideWhenUsed/>
    <w:rsid w:val="00A7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A22"/>
    <w:rPr>
      <w:rFonts w:ascii="Tahoma" w:hAnsi="Tahoma" w:cs="Tahoma"/>
      <w:sz w:val="16"/>
      <w:szCs w:val="16"/>
      <w:lang w:val="en-ZA"/>
    </w:rPr>
  </w:style>
  <w:style w:type="paragraph" w:customStyle="1" w:styleId="MTDisplayEquation">
    <w:name w:val="MTDisplayEquation"/>
    <w:basedOn w:val="Normal"/>
    <w:next w:val="Normal"/>
    <w:link w:val="MTDisplayEquationChar"/>
    <w:rsid w:val="00320BCF"/>
    <w:pPr>
      <w:tabs>
        <w:tab w:val="center" w:pos="4520"/>
        <w:tab w:val="right" w:pos="9020"/>
      </w:tabs>
    </w:pPr>
    <w:rPr>
      <w:lang w:val="en-US" w:bidi="en-US"/>
    </w:rPr>
  </w:style>
  <w:style w:type="character" w:customStyle="1" w:styleId="MTDisplayEquationChar">
    <w:name w:val="MTDisplayEquation Char"/>
    <w:basedOn w:val="DefaultParagraphFont"/>
    <w:link w:val="MTDisplayEquation"/>
    <w:rsid w:val="00320BCF"/>
    <w:rPr>
      <w:lang w:val="en-US" w:bidi="en-US"/>
    </w:rPr>
  </w:style>
  <w:style w:type="character" w:styleId="BookTitle">
    <w:name w:val="Book Title"/>
    <w:aliases w:val="Abstract Title"/>
    <w:basedOn w:val="DefaultParagraphFont"/>
    <w:uiPriority w:val="33"/>
    <w:qFormat/>
    <w:rsid w:val="0026690C"/>
    <w:rPr>
      <w:b/>
      <w:bCs/>
      <w:spacing w:val="5"/>
      <w:sz w:val="24"/>
    </w:rPr>
  </w:style>
  <w:style w:type="character" w:customStyle="1" w:styleId="Heading5Char">
    <w:name w:val="Heading 5 Char"/>
    <w:basedOn w:val="DefaultParagraphFont"/>
    <w:link w:val="Heading5"/>
    <w:uiPriority w:val="9"/>
    <w:semiHidden/>
    <w:rsid w:val="0026690C"/>
    <w:rPr>
      <w:rFonts w:asciiTheme="majorHAnsi" w:eastAsiaTheme="majorEastAsia" w:hAnsiTheme="majorHAnsi" w:cstheme="majorBidi"/>
      <w:color w:val="243F60" w:themeColor="accent1" w:themeShade="7F"/>
      <w:lang w:val="en-ZA"/>
    </w:rPr>
  </w:style>
  <w:style w:type="paragraph" w:customStyle="1" w:styleId="Abstract">
    <w:name w:val="Abstract"/>
    <w:basedOn w:val="Normal"/>
    <w:link w:val="AbstractChar"/>
    <w:qFormat/>
    <w:rsid w:val="0026690C"/>
    <w:pPr>
      <w:ind w:left="1134" w:right="1088"/>
    </w:pPr>
    <w:rPr>
      <w:sz w:val="20"/>
    </w:rPr>
  </w:style>
  <w:style w:type="character" w:customStyle="1" w:styleId="AbstractChar">
    <w:name w:val="Abstract Char"/>
    <w:basedOn w:val="DefaultParagraphFont"/>
    <w:link w:val="Abstract"/>
    <w:rsid w:val="0026690C"/>
    <w:rPr>
      <w:sz w:val="20"/>
      <w:lang w:val="en-Z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hart" Target="charts/chart2.xm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hart" Target="charts/chart1.xml"/><Relationship Id="rId28" Type="http://schemas.openxmlformats.org/officeDocument/2006/relationships/chart" Target="charts/chart6.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chart" Target="charts/chart5.xml"/><Relationship Id="rId30"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oleObject" Target="file:///C:\ADMB\Borland\BCC551\model\pen2010_bootstrap\pen_boo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ADMB\Borland\BCC551\model\pen2010_bootstrap\pen_boo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DMB\Borland\BCC551\model\pen2010_bootstrap\pen_boot.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ADMB\Borland\BCC551\model\pen2010_bootstrap\pen_boot.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ADMB\Borland\BCC551\model\pen2010_bootstrap\pen_boot.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ADMB\Borland\BCC551\model\pen2010_bootstrap\pen_boot.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ADMB\Borland\BCC551\model\pen2010_bootstrap\pen_boot.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C:\ADMB\Borland\BCC551\model\pen2010_bootstrap\pen_boot.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plotArea>
      <c:layout>
        <c:manualLayout>
          <c:layoutTarget val="inner"/>
          <c:xMode val="edge"/>
          <c:yMode val="edge"/>
          <c:x val="3.7797550659611191E-2"/>
          <c:y val="5.0765682398698504E-2"/>
          <c:w val="0.91380692231661553"/>
          <c:h val="0.68587370817747684"/>
        </c:manualLayout>
      </c:layout>
      <c:scatterChart>
        <c:scatterStyle val="lineMarker"/>
        <c:ser>
          <c:idx val="0"/>
          <c:order val="0"/>
          <c:spPr>
            <a:ln w="25400" cap="flat" cmpd="sng" algn="ctr">
              <a:solidFill>
                <a:schemeClr val="dk1"/>
              </a:solidFill>
              <a:prstDash val="solid"/>
            </a:ln>
            <a:effectLst/>
          </c:spPr>
          <c:marker>
            <c:symbol val="none"/>
          </c:marker>
          <c:xVal>
            <c:numRef>
              <c:f>'eta mu'!$E$15:$E$61</c:f>
              <c:numCache>
                <c:formatCode>General</c:formatCode>
                <c:ptCount val="47"/>
                <c:pt idx="0">
                  <c:v>3.9109049648394595E-2</c:v>
                </c:pt>
                <c:pt idx="1">
                  <c:v>8.0819300000000024E-2</c:v>
                </c:pt>
                <c:pt idx="2">
                  <c:v>0.12252955035160557</c:v>
                </c:pt>
                <c:pt idx="3">
                  <c:v>0.1642398007032109</c:v>
                </c:pt>
                <c:pt idx="4">
                  <c:v>0.20595005105481631</c:v>
                </c:pt>
                <c:pt idx="5">
                  <c:v>0.24766030140642206</c:v>
                </c:pt>
                <c:pt idx="6">
                  <c:v>0.28937055175802751</c:v>
                </c:pt>
                <c:pt idx="7">
                  <c:v>0.33108080210963337</c:v>
                </c:pt>
                <c:pt idx="8">
                  <c:v>0.37279105246123745</c:v>
                </c:pt>
                <c:pt idx="9">
                  <c:v>0.41450130281284386</c:v>
                </c:pt>
                <c:pt idx="10">
                  <c:v>0.45621155316444911</c:v>
                </c:pt>
                <c:pt idx="11">
                  <c:v>0.49792180351605464</c:v>
                </c:pt>
                <c:pt idx="12">
                  <c:v>0.53963205386765956</c:v>
                </c:pt>
                <c:pt idx="13">
                  <c:v>0.58134230421926425</c:v>
                </c:pt>
                <c:pt idx="14">
                  <c:v>0.62305255457087116</c:v>
                </c:pt>
                <c:pt idx="15">
                  <c:v>0.66476280492247664</c:v>
                </c:pt>
                <c:pt idx="16">
                  <c:v>0.70647305527408211</c:v>
                </c:pt>
                <c:pt idx="17">
                  <c:v>0.74818330562568702</c:v>
                </c:pt>
                <c:pt idx="18">
                  <c:v>0.78989355597729249</c:v>
                </c:pt>
                <c:pt idx="19">
                  <c:v>0.83160380632889941</c:v>
                </c:pt>
                <c:pt idx="20">
                  <c:v>0.87331405668050455</c:v>
                </c:pt>
                <c:pt idx="21">
                  <c:v>0.91502430703210891</c:v>
                </c:pt>
                <c:pt idx="22">
                  <c:v>0.95673455738371505</c:v>
                </c:pt>
                <c:pt idx="23">
                  <c:v>0.99844480773531952</c:v>
                </c:pt>
                <c:pt idx="24">
                  <c:v>1.0401550580869261</c:v>
                </c:pt>
                <c:pt idx="25">
                  <c:v>1.0818653084385306</c:v>
                </c:pt>
                <c:pt idx="26">
                  <c:v>1.1235755587901359</c:v>
                </c:pt>
                <c:pt idx="27">
                  <c:v>1.1652858091417435</c:v>
                </c:pt>
                <c:pt idx="28">
                  <c:v>1.2069960594933458</c:v>
                </c:pt>
                <c:pt idx="29">
                  <c:v>1.2487063098449518</c:v>
                </c:pt>
                <c:pt idx="30">
                  <c:v>1.2904165601965589</c:v>
                </c:pt>
                <c:pt idx="31">
                  <c:v>1.3321268105481618</c:v>
                </c:pt>
                <c:pt idx="32">
                  <c:v>1.3738370608997681</c:v>
                </c:pt>
                <c:pt idx="33">
                  <c:v>1.4155473112513735</c:v>
                </c:pt>
                <c:pt idx="34">
                  <c:v>1.4572575616029799</c:v>
                </c:pt>
                <c:pt idx="35">
                  <c:v>1.4989678119545842</c:v>
                </c:pt>
                <c:pt idx="36">
                  <c:v>1.5406780623061895</c:v>
                </c:pt>
                <c:pt idx="37">
                  <c:v>1.5823883126577949</c:v>
                </c:pt>
                <c:pt idx="38">
                  <c:v>1.6240985630094003</c:v>
                </c:pt>
                <c:pt idx="39">
                  <c:v>1.6658088133610061</c:v>
                </c:pt>
                <c:pt idx="40">
                  <c:v>1.707519063712611</c:v>
                </c:pt>
                <c:pt idx="41">
                  <c:v>1.749229314064215</c:v>
                </c:pt>
                <c:pt idx="42">
                  <c:v>1.7909395644158221</c:v>
                </c:pt>
                <c:pt idx="43">
                  <c:v>1.8326498147674271</c:v>
                </c:pt>
                <c:pt idx="44">
                  <c:v>1.8743600651190324</c:v>
                </c:pt>
                <c:pt idx="45">
                  <c:v>1.916070315470638</c:v>
                </c:pt>
                <c:pt idx="46">
                  <c:v>1.9577805658222447</c:v>
                </c:pt>
              </c:numCache>
            </c:numRef>
          </c:xVal>
          <c:yVal>
            <c:numRef>
              <c:f>'eta mu'!$F$15:$F$61</c:f>
              <c:numCache>
                <c:formatCode>General</c:formatCode>
                <c:ptCount val="47"/>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c:v>
                </c:pt>
                <c:pt idx="22">
                  <c:v>1</c:v>
                </c:pt>
                <c:pt idx="23">
                  <c:v>1</c:v>
                </c:pt>
                <c:pt idx="24">
                  <c:v>3</c:v>
                </c:pt>
                <c:pt idx="25">
                  <c:v>6</c:v>
                </c:pt>
                <c:pt idx="26">
                  <c:v>15</c:v>
                </c:pt>
                <c:pt idx="27">
                  <c:v>34</c:v>
                </c:pt>
                <c:pt idx="28">
                  <c:v>45</c:v>
                </c:pt>
                <c:pt idx="29">
                  <c:v>84</c:v>
                </c:pt>
                <c:pt idx="30">
                  <c:v>112</c:v>
                </c:pt>
                <c:pt idx="31">
                  <c:v>183</c:v>
                </c:pt>
                <c:pt idx="32">
                  <c:v>238</c:v>
                </c:pt>
                <c:pt idx="33">
                  <c:v>361</c:v>
                </c:pt>
                <c:pt idx="34">
                  <c:v>494</c:v>
                </c:pt>
                <c:pt idx="35">
                  <c:v>529</c:v>
                </c:pt>
                <c:pt idx="36">
                  <c:v>653</c:v>
                </c:pt>
                <c:pt idx="37">
                  <c:v>662</c:v>
                </c:pt>
                <c:pt idx="38">
                  <c:v>604</c:v>
                </c:pt>
                <c:pt idx="39">
                  <c:v>454</c:v>
                </c:pt>
                <c:pt idx="40">
                  <c:v>295</c:v>
                </c:pt>
                <c:pt idx="41">
                  <c:v>146</c:v>
                </c:pt>
                <c:pt idx="42">
                  <c:v>57</c:v>
                </c:pt>
                <c:pt idx="43">
                  <c:v>17</c:v>
                </c:pt>
                <c:pt idx="44">
                  <c:v>3</c:v>
                </c:pt>
                <c:pt idx="45">
                  <c:v>1</c:v>
                </c:pt>
                <c:pt idx="46">
                  <c:v>0</c:v>
                </c:pt>
              </c:numCache>
            </c:numRef>
          </c:yVal>
        </c:ser>
        <c:ser>
          <c:idx val="1"/>
          <c:order val="1"/>
          <c:tx>
            <c:v>MLE</c:v>
          </c:tx>
          <c:spPr>
            <a:ln w="15875">
              <a:solidFill>
                <a:prstClr val="black"/>
              </a:solidFill>
              <a:prstDash val="sysDash"/>
            </a:ln>
          </c:spPr>
          <c:marker>
            <c:symbol val="none"/>
          </c:marker>
          <c:xVal>
            <c:numRef>
              <c:f>'eta mu'!$E$12:$E$13</c:f>
              <c:numCache>
                <c:formatCode>General</c:formatCode>
                <c:ptCount val="2"/>
                <c:pt idx="0">
                  <c:v>1.4995259999999988</c:v>
                </c:pt>
                <c:pt idx="1">
                  <c:v>1.4995259999999988</c:v>
                </c:pt>
              </c:numCache>
            </c:numRef>
          </c:xVal>
          <c:yVal>
            <c:numRef>
              <c:f>'eta mu'!$F$12:$F$13</c:f>
              <c:numCache>
                <c:formatCode>General</c:formatCode>
                <c:ptCount val="2"/>
                <c:pt idx="0">
                  <c:v>662</c:v>
                </c:pt>
                <c:pt idx="1">
                  <c:v>0</c:v>
                </c:pt>
              </c:numCache>
            </c:numRef>
          </c:yVal>
        </c:ser>
        <c:axId val="128944000"/>
        <c:axId val="134048768"/>
      </c:scatterChart>
      <c:valAx>
        <c:axId val="128944000"/>
        <c:scaling>
          <c:orientation val="minMax"/>
        </c:scaling>
        <c:axPos val="b"/>
        <c:title>
          <c:tx>
            <c:rich>
              <a:bodyPr/>
              <a:lstStyle/>
              <a:p>
                <a:pPr>
                  <a:defRPr sz="1050"/>
                </a:pPr>
                <a:r>
                  <a:rPr lang="en-GB" sz="1050"/>
                  <a:t>mu_S</a:t>
                </a:r>
              </a:p>
            </c:rich>
          </c:tx>
        </c:title>
        <c:numFmt formatCode="General" sourceLinked="1"/>
        <c:tickLblPos val="nextTo"/>
        <c:crossAx val="134048768"/>
        <c:crosses val="autoZero"/>
        <c:crossBetween val="midCat"/>
      </c:valAx>
      <c:valAx>
        <c:axId val="134048768"/>
        <c:scaling>
          <c:orientation val="minMax"/>
        </c:scaling>
        <c:axPos val="l"/>
        <c:numFmt formatCode="General" sourceLinked="1"/>
        <c:majorTickMark val="none"/>
        <c:tickLblPos val="none"/>
        <c:crossAx val="128944000"/>
        <c:crosses val="autoZero"/>
        <c:crossBetween val="midCat"/>
      </c:valAx>
    </c:plotArea>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5.2675221070616181E-2"/>
          <c:y val="5.1119562325797376E-2"/>
          <c:w val="0.89892925190561079"/>
          <c:h val="0.68201352018217154"/>
        </c:manualLayout>
      </c:layout>
      <c:scatterChart>
        <c:scatterStyle val="lineMarker"/>
        <c:ser>
          <c:idx val="0"/>
          <c:order val="0"/>
          <c:spPr>
            <a:ln w="25400" cap="flat" cmpd="sng" algn="ctr">
              <a:solidFill>
                <a:schemeClr val="dk1"/>
              </a:solidFill>
              <a:prstDash val="solid"/>
            </a:ln>
            <a:effectLst/>
          </c:spPr>
          <c:marker>
            <c:symbol val="none"/>
          </c:marker>
          <c:xVal>
            <c:numRef>
              <c:f>'eta mu'!$G$15:$G$49</c:f>
              <c:numCache>
                <c:formatCode>General</c:formatCode>
                <c:ptCount val="35"/>
                <c:pt idx="0">
                  <c:v>-0.25202934579857295</c:v>
                </c:pt>
                <c:pt idx="1">
                  <c:v>-0.23443200000000014</c:v>
                </c:pt>
                <c:pt idx="2">
                  <c:v>-0.21683465420142722</c:v>
                </c:pt>
                <c:pt idx="3">
                  <c:v>-0.19923730840285428</c:v>
                </c:pt>
                <c:pt idx="4">
                  <c:v>-0.1816399626042812</c:v>
                </c:pt>
                <c:pt idx="5">
                  <c:v>-0.16404261680570822</c:v>
                </c:pt>
                <c:pt idx="6">
                  <c:v>-0.14644527100713556</c:v>
                </c:pt>
                <c:pt idx="7">
                  <c:v>-0.1288479252085622</c:v>
                </c:pt>
                <c:pt idx="8">
                  <c:v>-0.1112505794099895</c:v>
                </c:pt>
                <c:pt idx="9">
                  <c:v>-9.3653233611416545E-2</c:v>
                </c:pt>
                <c:pt idx="10">
                  <c:v>-7.6055887812843503E-2</c:v>
                </c:pt>
                <c:pt idx="11">
                  <c:v>-5.8458542014270545E-2</c:v>
                </c:pt>
                <c:pt idx="12">
                  <c:v>-4.086119621569767E-2</c:v>
                </c:pt>
                <c:pt idx="13">
                  <c:v>-2.3263850417124716E-2</c:v>
                </c:pt>
                <c:pt idx="14">
                  <c:v>-5.666504618551749E-3</c:v>
                </c:pt>
                <c:pt idx="15">
                  <c:v>1.1930841180021183E-2</c:v>
                </c:pt>
                <c:pt idx="16">
                  <c:v>2.952818697859412E-2</c:v>
                </c:pt>
                <c:pt idx="17">
                  <c:v>4.7125532777167009E-2</c:v>
                </c:pt>
                <c:pt idx="18">
                  <c:v>6.4722878575739995E-2</c:v>
                </c:pt>
                <c:pt idx="19">
                  <c:v>8.2320224374312967E-2</c:v>
                </c:pt>
                <c:pt idx="20">
                  <c:v>9.991757017288605E-2</c:v>
                </c:pt>
                <c:pt idx="21">
                  <c:v>0.1175149159714589</c:v>
                </c:pt>
                <c:pt idx="22">
                  <c:v>0.13511226177003191</c:v>
                </c:pt>
                <c:pt idx="23">
                  <c:v>0.15270960756860474</c:v>
                </c:pt>
                <c:pt idx="24">
                  <c:v>0.17030695336717774</c:v>
                </c:pt>
                <c:pt idx="25">
                  <c:v>0.18790429916575088</c:v>
                </c:pt>
                <c:pt idx="26">
                  <c:v>0.20550164496432369</c:v>
                </c:pt>
                <c:pt idx="27">
                  <c:v>0.22309899076289674</c:v>
                </c:pt>
                <c:pt idx="28">
                  <c:v>0.24069633656146977</c:v>
                </c:pt>
                <c:pt idx="29">
                  <c:v>0.25829368236004235</c:v>
                </c:pt>
                <c:pt idx="30">
                  <c:v>0.27589102815861527</c:v>
                </c:pt>
                <c:pt idx="31">
                  <c:v>0.29348837395718885</c:v>
                </c:pt>
                <c:pt idx="32">
                  <c:v>0.31108571975576166</c:v>
                </c:pt>
                <c:pt idx="33">
                  <c:v>0.32868306555433441</c:v>
                </c:pt>
                <c:pt idx="34">
                  <c:v>0.34628041135290744</c:v>
                </c:pt>
              </c:numCache>
            </c:numRef>
          </c:xVal>
          <c:yVal>
            <c:numRef>
              <c:f>'eta mu'!$H$15:$H$49</c:f>
              <c:numCache>
                <c:formatCode>General</c:formatCode>
                <c:ptCount val="35"/>
                <c:pt idx="0">
                  <c:v>0</c:v>
                </c:pt>
                <c:pt idx="1">
                  <c:v>1</c:v>
                </c:pt>
                <c:pt idx="2">
                  <c:v>0</c:v>
                </c:pt>
                <c:pt idx="3">
                  <c:v>5</c:v>
                </c:pt>
                <c:pt idx="4">
                  <c:v>3</c:v>
                </c:pt>
                <c:pt idx="5">
                  <c:v>12</c:v>
                </c:pt>
                <c:pt idx="6">
                  <c:v>25</c:v>
                </c:pt>
                <c:pt idx="7">
                  <c:v>35</c:v>
                </c:pt>
                <c:pt idx="8">
                  <c:v>56</c:v>
                </c:pt>
                <c:pt idx="9">
                  <c:v>94</c:v>
                </c:pt>
                <c:pt idx="10">
                  <c:v>121</c:v>
                </c:pt>
                <c:pt idx="11">
                  <c:v>202</c:v>
                </c:pt>
                <c:pt idx="12">
                  <c:v>239</c:v>
                </c:pt>
                <c:pt idx="13">
                  <c:v>314</c:v>
                </c:pt>
                <c:pt idx="14">
                  <c:v>386</c:v>
                </c:pt>
                <c:pt idx="15">
                  <c:v>455</c:v>
                </c:pt>
                <c:pt idx="16">
                  <c:v>497</c:v>
                </c:pt>
                <c:pt idx="17">
                  <c:v>447</c:v>
                </c:pt>
                <c:pt idx="18">
                  <c:v>444</c:v>
                </c:pt>
                <c:pt idx="19">
                  <c:v>407</c:v>
                </c:pt>
                <c:pt idx="20">
                  <c:v>344</c:v>
                </c:pt>
                <c:pt idx="21">
                  <c:v>277</c:v>
                </c:pt>
                <c:pt idx="22">
                  <c:v>216</c:v>
                </c:pt>
                <c:pt idx="23">
                  <c:v>152</c:v>
                </c:pt>
                <c:pt idx="24">
                  <c:v>104</c:v>
                </c:pt>
                <c:pt idx="25">
                  <c:v>67</c:v>
                </c:pt>
                <c:pt idx="26">
                  <c:v>42</c:v>
                </c:pt>
                <c:pt idx="27">
                  <c:v>29</c:v>
                </c:pt>
                <c:pt idx="28">
                  <c:v>10</c:v>
                </c:pt>
                <c:pt idx="29">
                  <c:v>8</c:v>
                </c:pt>
                <c:pt idx="30">
                  <c:v>3</c:v>
                </c:pt>
                <c:pt idx="31">
                  <c:v>4</c:v>
                </c:pt>
                <c:pt idx="32">
                  <c:v>0</c:v>
                </c:pt>
                <c:pt idx="33">
                  <c:v>0</c:v>
                </c:pt>
                <c:pt idx="34">
                  <c:v>1</c:v>
                </c:pt>
              </c:numCache>
            </c:numRef>
          </c:yVal>
        </c:ser>
        <c:ser>
          <c:idx val="1"/>
          <c:order val="1"/>
          <c:tx>
            <c:v>MLE</c:v>
          </c:tx>
          <c:spPr>
            <a:ln w="15875">
              <a:solidFill>
                <a:schemeClr val="tx1"/>
              </a:solidFill>
              <a:prstDash val="sysDash"/>
            </a:ln>
          </c:spPr>
          <c:marker>
            <c:symbol val="none"/>
          </c:marker>
          <c:xVal>
            <c:numRef>
              <c:f>'eta mu'!$G$12:$G$13</c:f>
              <c:numCache>
                <c:formatCode>General</c:formatCode>
                <c:ptCount val="2"/>
                <c:pt idx="0">
                  <c:v>3.6329E-2</c:v>
                </c:pt>
                <c:pt idx="1">
                  <c:v>3.6329E-2</c:v>
                </c:pt>
              </c:numCache>
            </c:numRef>
          </c:xVal>
          <c:yVal>
            <c:numRef>
              <c:f>'eta mu'!$H$12:$H$13</c:f>
              <c:numCache>
                <c:formatCode>General</c:formatCode>
                <c:ptCount val="2"/>
                <c:pt idx="0">
                  <c:v>497</c:v>
                </c:pt>
                <c:pt idx="1">
                  <c:v>0</c:v>
                </c:pt>
              </c:numCache>
            </c:numRef>
          </c:yVal>
        </c:ser>
        <c:axId val="136110848"/>
        <c:axId val="136112768"/>
      </c:scatterChart>
      <c:valAx>
        <c:axId val="136110848"/>
        <c:scaling>
          <c:orientation val="minMax"/>
        </c:scaling>
        <c:axPos val="b"/>
        <c:title>
          <c:tx>
            <c:rich>
              <a:bodyPr/>
              <a:lstStyle/>
              <a:p>
                <a:pPr>
                  <a:defRPr sz="1050"/>
                </a:pPr>
                <a:r>
                  <a:rPr lang="en-GB" sz="1050"/>
                  <a:t>mu_H</a:t>
                </a:r>
              </a:p>
            </c:rich>
          </c:tx>
        </c:title>
        <c:numFmt formatCode="General" sourceLinked="1"/>
        <c:tickLblPos val="nextTo"/>
        <c:crossAx val="136112768"/>
        <c:crosses val="autoZero"/>
        <c:crossBetween val="midCat"/>
        <c:majorUnit val="0.1"/>
      </c:valAx>
      <c:valAx>
        <c:axId val="136112768"/>
        <c:scaling>
          <c:orientation val="minMax"/>
        </c:scaling>
        <c:axPos val="l"/>
        <c:numFmt formatCode="General" sourceLinked="1"/>
        <c:majorTickMark val="none"/>
        <c:tickLblPos val="none"/>
        <c:crossAx val="136110848"/>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plotArea>
      <c:layout>
        <c:manualLayout>
          <c:layoutTarget val="inner"/>
          <c:xMode val="edge"/>
          <c:yMode val="edge"/>
          <c:x val="3.7797550659611191E-2"/>
          <c:y val="5.0765682398698504E-2"/>
          <c:w val="0.92440489868077869"/>
          <c:h val="0.72170776191658081"/>
        </c:manualLayout>
      </c:layout>
      <c:scatterChart>
        <c:scatterStyle val="lineMarker"/>
        <c:ser>
          <c:idx val="0"/>
          <c:order val="0"/>
          <c:spPr>
            <a:ln w="25400" cap="flat" cmpd="sng" algn="ctr">
              <a:solidFill>
                <a:schemeClr val="dk1"/>
              </a:solidFill>
              <a:prstDash val="solid"/>
            </a:ln>
            <a:effectLst/>
          </c:spPr>
          <c:marker>
            <c:symbol val="none"/>
          </c:marker>
          <c:xVal>
            <c:numRef>
              <c:f>'eta mu'!$A$15:$A$39</c:f>
              <c:numCache>
                <c:formatCode>General</c:formatCode>
                <c:ptCount val="25"/>
                <c:pt idx="0">
                  <c:v>2.78359063025552</c:v>
                </c:pt>
                <c:pt idx="1">
                  <c:v>2.8923899999999976</c:v>
                </c:pt>
                <c:pt idx="2">
                  <c:v>3.0011893697444836</c:v>
                </c:pt>
                <c:pt idx="3">
                  <c:v>3.1099887394889674</c:v>
                </c:pt>
                <c:pt idx="4">
                  <c:v>3.2187881092334507</c:v>
                </c:pt>
                <c:pt idx="5">
                  <c:v>3.3275874789779398</c:v>
                </c:pt>
                <c:pt idx="6">
                  <c:v>3.4363868487224214</c:v>
                </c:pt>
                <c:pt idx="7">
                  <c:v>3.5451862184669061</c:v>
                </c:pt>
                <c:pt idx="8">
                  <c:v>3.653985588211389</c:v>
                </c:pt>
                <c:pt idx="9">
                  <c:v>3.7627849579558723</c:v>
                </c:pt>
                <c:pt idx="10">
                  <c:v>3.8715843277003552</c:v>
                </c:pt>
                <c:pt idx="11">
                  <c:v>3.9803836974448381</c:v>
                </c:pt>
                <c:pt idx="12">
                  <c:v>4.0891830671893219</c:v>
                </c:pt>
                <c:pt idx="13">
                  <c:v>4.1979824369338017</c:v>
                </c:pt>
                <c:pt idx="14">
                  <c:v>4.306781806678285</c:v>
                </c:pt>
                <c:pt idx="15">
                  <c:v>4.4155811764227746</c:v>
                </c:pt>
                <c:pt idx="16">
                  <c:v>4.5243805461672455</c:v>
                </c:pt>
                <c:pt idx="17">
                  <c:v>4.6331799159117431</c:v>
                </c:pt>
                <c:pt idx="18">
                  <c:v>4.7419792856562317</c:v>
                </c:pt>
                <c:pt idx="19">
                  <c:v>4.8507786554007115</c:v>
                </c:pt>
                <c:pt idx="20">
                  <c:v>4.9595780251451984</c:v>
                </c:pt>
                <c:pt idx="21">
                  <c:v>5.0683773948896844</c:v>
                </c:pt>
                <c:pt idx="22">
                  <c:v>5.1771767646341686</c:v>
                </c:pt>
                <c:pt idx="23">
                  <c:v>5.2859761343786484</c:v>
                </c:pt>
                <c:pt idx="24">
                  <c:v>5.3947755041231327</c:v>
                </c:pt>
              </c:numCache>
            </c:numRef>
          </c:xVal>
          <c:yVal>
            <c:numRef>
              <c:f>'eta mu'!$B$15:$B$39</c:f>
              <c:numCache>
                <c:formatCode>General</c:formatCode>
                <c:ptCount val="25"/>
                <c:pt idx="0">
                  <c:v>0</c:v>
                </c:pt>
                <c:pt idx="1">
                  <c:v>1</c:v>
                </c:pt>
                <c:pt idx="2">
                  <c:v>0</c:v>
                </c:pt>
                <c:pt idx="3">
                  <c:v>0</c:v>
                </c:pt>
                <c:pt idx="4">
                  <c:v>1</c:v>
                </c:pt>
                <c:pt idx="5">
                  <c:v>5</c:v>
                </c:pt>
                <c:pt idx="6">
                  <c:v>16</c:v>
                </c:pt>
                <c:pt idx="7">
                  <c:v>32</c:v>
                </c:pt>
                <c:pt idx="8">
                  <c:v>62</c:v>
                </c:pt>
                <c:pt idx="9">
                  <c:v>86</c:v>
                </c:pt>
                <c:pt idx="10">
                  <c:v>150</c:v>
                </c:pt>
                <c:pt idx="11">
                  <c:v>252</c:v>
                </c:pt>
                <c:pt idx="12">
                  <c:v>328</c:v>
                </c:pt>
                <c:pt idx="13">
                  <c:v>480</c:v>
                </c:pt>
                <c:pt idx="14">
                  <c:v>518</c:v>
                </c:pt>
                <c:pt idx="15">
                  <c:v>628</c:v>
                </c:pt>
                <c:pt idx="16">
                  <c:v>626</c:v>
                </c:pt>
                <c:pt idx="17">
                  <c:v>635</c:v>
                </c:pt>
                <c:pt idx="18">
                  <c:v>507</c:v>
                </c:pt>
                <c:pt idx="19">
                  <c:v>373</c:v>
                </c:pt>
                <c:pt idx="20">
                  <c:v>217</c:v>
                </c:pt>
                <c:pt idx="21">
                  <c:v>72</c:v>
                </c:pt>
                <c:pt idx="22">
                  <c:v>11</c:v>
                </c:pt>
                <c:pt idx="23">
                  <c:v>0</c:v>
                </c:pt>
                <c:pt idx="24">
                  <c:v>0</c:v>
                </c:pt>
              </c:numCache>
            </c:numRef>
          </c:yVal>
        </c:ser>
        <c:ser>
          <c:idx val="1"/>
          <c:order val="1"/>
          <c:tx>
            <c:v>MLE</c:v>
          </c:tx>
          <c:spPr>
            <a:ln w="15875">
              <a:solidFill>
                <a:schemeClr val="tx1"/>
              </a:solidFill>
              <a:prstDash val="sysDash"/>
            </a:ln>
          </c:spPr>
          <c:marker>
            <c:symbol val="none"/>
          </c:marker>
          <c:xVal>
            <c:numRef>
              <c:f>'eta mu'!$A$12:$A$13</c:f>
              <c:numCache>
                <c:formatCode>General</c:formatCode>
                <c:ptCount val="2"/>
                <c:pt idx="0">
                  <c:v>4.4169999999999998</c:v>
                </c:pt>
                <c:pt idx="1">
                  <c:v>4.4169999999999998</c:v>
                </c:pt>
              </c:numCache>
            </c:numRef>
          </c:xVal>
          <c:yVal>
            <c:numRef>
              <c:f>'eta mu'!$B$12:$B$13</c:f>
              <c:numCache>
                <c:formatCode>General</c:formatCode>
                <c:ptCount val="2"/>
                <c:pt idx="0">
                  <c:v>635</c:v>
                </c:pt>
                <c:pt idx="1">
                  <c:v>0</c:v>
                </c:pt>
              </c:numCache>
            </c:numRef>
          </c:yVal>
        </c:ser>
        <c:axId val="136301952"/>
        <c:axId val="136402432"/>
      </c:scatterChart>
      <c:valAx>
        <c:axId val="136301952"/>
        <c:scaling>
          <c:orientation val="minMax"/>
        </c:scaling>
        <c:axPos val="b"/>
        <c:title>
          <c:tx>
            <c:rich>
              <a:bodyPr/>
              <a:lstStyle/>
              <a:p>
                <a:pPr>
                  <a:defRPr sz="1050"/>
                </a:pPr>
                <a:r>
                  <a:rPr lang="en-GB" sz="1050"/>
                  <a:t>eta_S</a:t>
                </a:r>
              </a:p>
            </c:rich>
          </c:tx>
        </c:title>
        <c:numFmt formatCode="General" sourceLinked="1"/>
        <c:tickLblPos val="nextTo"/>
        <c:crossAx val="136402432"/>
        <c:crosses val="autoZero"/>
        <c:crossBetween val="midCat"/>
      </c:valAx>
      <c:valAx>
        <c:axId val="136402432"/>
        <c:scaling>
          <c:orientation val="minMax"/>
        </c:scaling>
        <c:axPos val="l"/>
        <c:numFmt formatCode="General" sourceLinked="1"/>
        <c:majorTickMark val="none"/>
        <c:tickLblPos val="none"/>
        <c:crossAx val="136301952"/>
        <c:crosses val="autoZero"/>
        <c:crossBetween val="midCat"/>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675221070616181E-2"/>
          <c:y val="5.1119562325797376E-2"/>
          <c:w val="0.89892925190561079"/>
          <c:h val="0.71047336275604989"/>
        </c:manualLayout>
      </c:layout>
      <c:scatterChart>
        <c:scatterStyle val="lineMarker"/>
        <c:ser>
          <c:idx val="0"/>
          <c:order val="0"/>
          <c:spPr>
            <a:ln w="25400" cap="flat" cmpd="sng" algn="ctr">
              <a:solidFill>
                <a:schemeClr val="dk1"/>
              </a:solidFill>
              <a:prstDash val="solid"/>
            </a:ln>
            <a:effectLst/>
          </c:spPr>
          <c:marker>
            <c:symbol val="none"/>
          </c:marker>
          <c:xVal>
            <c:numRef>
              <c:f>'eta mu'!$C$15:$C$48</c:f>
              <c:numCache>
                <c:formatCode>General</c:formatCode>
                <c:ptCount val="34"/>
                <c:pt idx="0">
                  <c:v>-0.69417058085772376</c:v>
                </c:pt>
                <c:pt idx="1">
                  <c:v>-0.66131099999999998</c:v>
                </c:pt>
                <c:pt idx="2">
                  <c:v>-0.62845141914227565</c:v>
                </c:pt>
                <c:pt idx="3">
                  <c:v>-0.59559183828455164</c:v>
                </c:pt>
                <c:pt idx="4">
                  <c:v>-0.56273225742682753</c:v>
                </c:pt>
                <c:pt idx="5">
                  <c:v>-0.52987267656910353</c:v>
                </c:pt>
                <c:pt idx="6">
                  <c:v>-0.49701309571137831</c:v>
                </c:pt>
                <c:pt idx="7">
                  <c:v>-0.46415351485365397</c:v>
                </c:pt>
                <c:pt idx="8">
                  <c:v>-0.4312939339959298</c:v>
                </c:pt>
                <c:pt idx="9">
                  <c:v>-0.39843435313820558</c:v>
                </c:pt>
                <c:pt idx="10">
                  <c:v>-0.36557477228048157</c:v>
                </c:pt>
                <c:pt idx="11">
                  <c:v>-0.33271519142275702</c:v>
                </c:pt>
                <c:pt idx="12">
                  <c:v>-0.29985561056503235</c:v>
                </c:pt>
                <c:pt idx="13">
                  <c:v>-0.26699602970730796</c:v>
                </c:pt>
                <c:pt idx="14">
                  <c:v>-0.23413644884958359</c:v>
                </c:pt>
                <c:pt idx="15">
                  <c:v>-0.20127686799185918</c:v>
                </c:pt>
                <c:pt idx="16">
                  <c:v>-0.1684172871341352</c:v>
                </c:pt>
                <c:pt idx="17">
                  <c:v>-0.13555770627641051</c:v>
                </c:pt>
                <c:pt idx="18">
                  <c:v>-0.10269812541868628</c:v>
                </c:pt>
                <c:pt idx="19">
                  <c:v>-6.9838544560961779E-2</c:v>
                </c:pt>
                <c:pt idx="20">
                  <c:v>-3.6978963703237416E-2</c:v>
                </c:pt>
                <c:pt idx="21">
                  <c:v>-4.1193828455130532E-3</c:v>
                </c:pt>
                <c:pt idx="22">
                  <c:v>2.8740198012211331E-2</c:v>
                </c:pt>
                <c:pt idx="23">
                  <c:v>6.1599778869935694E-2</c:v>
                </c:pt>
                <c:pt idx="24">
                  <c:v>9.4459359727660161E-2</c:v>
                </c:pt>
                <c:pt idx="25">
                  <c:v>0.12731894058538454</c:v>
                </c:pt>
                <c:pt idx="26">
                  <c:v>0.16017852144310857</c:v>
                </c:pt>
                <c:pt idx="27">
                  <c:v>0.19303810230083321</c:v>
                </c:pt>
                <c:pt idx="28">
                  <c:v>0.22589768315855738</c:v>
                </c:pt>
                <c:pt idx="29">
                  <c:v>0.25875726401628174</c:v>
                </c:pt>
                <c:pt idx="30">
                  <c:v>0.29161684487400652</c:v>
                </c:pt>
                <c:pt idx="31">
                  <c:v>0.32447642573173091</c:v>
                </c:pt>
                <c:pt idx="32">
                  <c:v>0.35733600658945514</c:v>
                </c:pt>
                <c:pt idx="33">
                  <c:v>0.3901955874471793</c:v>
                </c:pt>
              </c:numCache>
            </c:numRef>
          </c:xVal>
          <c:yVal>
            <c:numRef>
              <c:f>'eta mu'!$D$15:$D$48</c:f>
              <c:numCache>
                <c:formatCode>General</c:formatCode>
                <c:ptCount val="34"/>
                <c:pt idx="0">
                  <c:v>0</c:v>
                </c:pt>
                <c:pt idx="1">
                  <c:v>1</c:v>
                </c:pt>
                <c:pt idx="2">
                  <c:v>1</c:v>
                </c:pt>
                <c:pt idx="3">
                  <c:v>1</c:v>
                </c:pt>
                <c:pt idx="4">
                  <c:v>6</c:v>
                </c:pt>
                <c:pt idx="5">
                  <c:v>15</c:v>
                </c:pt>
                <c:pt idx="6">
                  <c:v>18</c:v>
                </c:pt>
                <c:pt idx="7">
                  <c:v>34</c:v>
                </c:pt>
                <c:pt idx="8">
                  <c:v>66</c:v>
                </c:pt>
                <c:pt idx="9">
                  <c:v>114</c:v>
                </c:pt>
                <c:pt idx="10">
                  <c:v>161</c:v>
                </c:pt>
                <c:pt idx="11">
                  <c:v>210</c:v>
                </c:pt>
                <c:pt idx="12">
                  <c:v>271</c:v>
                </c:pt>
                <c:pt idx="13">
                  <c:v>358</c:v>
                </c:pt>
                <c:pt idx="14">
                  <c:v>424</c:v>
                </c:pt>
                <c:pt idx="15">
                  <c:v>469</c:v>
                </c:pt>
                <c:pt idx="16">
                  <c:v>511</c:v>
                </c:pt>
                <c:pt idx="17">
                  <c:v>443</c:v>
                </c:pt>
                <c:pt idx="18">
                  <c:v>418</c:v>
                </c:pt>
                <c:pt idx="19">
                  <c:v>382</c:v>
                </c:pt>
                <c:pt idx="20">
                  <c:v>307</c:v>
                </c:pt>
                <c:pt idx="21">
                  <c:v>245</c:v>
                </c:pt>
                <c:pt idx="22">
                  <c:v>178</c:v>
                </c:pt>
                <c:pt idx="23">
                  <c:v>121</c:v>
                </c:pt>
                <c:pt idx="24">
                  <c:v>82</c:v>
                </c:pt>
                <c:pt idx="25">
                  <c:v>61</c:v>
                </c:pt>
                <c:pt idx="26">
                  <c:v>40</c:v>
                </c:pt>
                <c:pt idx="27">
                  <c:v>33</c:v>
                </c:pt>
                <c:pt idx="28">
                  <c:v>11</c:v>
                </c:pt>
                <c:pt idx="29">
                  <c:v>7</c:v>
                </c:pt>
                <c:pt idx="30">
                  <c:v>8</c:v>
                </c:pt>
                <c:pt idx="31">
                  <c:v>1</c:v>
                </c:pt>
                <c:pt idx="32">
                  <c:v>3</c:v>
                </c:pt>
                <c:pt idx="33">
                  <c:v>0</c:v>
                </c:pt>
              </c:numCache>
            </c:numRef>
          </c:yVal>
        </c:ser>
        <c:ser>
          <c:idx val="1"/>
          <c:order val="1"/>
          <c:tx>
            <c:v>MLE</c:v>
          </c:tx>
          <c:spPr>
            <a:ln w="15875">
              <a:solidFill>
                <a:prstClr val="black"/>
              </a:solidFill>
              <a:prstDash val="sysDash"/>
            </a:ln>
          </c:spPr>
          <c:marker>
            <c:symbol val="none"/>
          </c:marker>
          <c:xVal>
            <c:numRef>
              <c:f>'eta mu'!$C$12:$C$13</c:f>
              <c:numCache>
                <c:formatCode>General</c:formatCode>
                <c:ptCount val="2"/>
                <c:pt idx="0">
                  <c:v>-0.14199600000000023</c:v>
                </c:pt>
                <c:pt idx="1">
                  <c:v>-0.14199600000000023</c:v>
                </c:pt>
              </c:numCache>
            </c:numRef>
          </c:xVal>
          <c:yVal>
            <c:numRef>
              <c:f>'eta mu'!$D$12:$D$13</c:f>
              <c:numCache>
                <c:formatCode>General</c:formatCode>
                <c:ptCount val="2"/>
                <c:pt idx="0">
                  <c:v>511</c:v>
                </c:pt>
                <c:pt idx="1">
                  <c:v>0</c:v>
                </c:pt>
              </c:numCache>
            </c:numRef>
          </c:yVal>
        </c:ser>
        <c:axId val="148274176"/>
        <c:axId val="153191936"/>
      </c:scatterChart>
      <c:valAx>
        <c:axId val="148274176"/>
        <c:scaling>
          <c:orientation val="minMax"/>
        </c:scaling>
        <c:axPos val="b"/>
        <c:title>
          <c:tx>
            <c:rich>
              <a:bodyPr/>
              <a:lstStyle/>
              <a:p>
                <a:pPr>
                  <a:defRPr sz="1050"/>
                </a:pPr>
                <a:r>
                  <a:rPr lang="en-GB" sz="1050"/>
                  <a:t>eta_H</a:t>
                </a:r>
              </a:p>
            </c:rich>
          </c:tx>
        </c:title>
        <c:numFmt formatCode="General" sourceLinked="1"/>
        <c:tickLblPos val="nextTo"/>
        <c:crossAx val="153191936"/>
        <c:crosses val="autoZero"/>
        <c:crossBetween val="midCat"/>
      </c:valAx>
      <c:valAx>
        <c:axId val="153191936"/>
        <c:scaling>
          <c:orientation val="minMax"/>
        </c:scaling>
        <c:axPos val="l"/>
        <c:numFmt formatCode="General" sourceLinked="1"/>
        <c:majorTickMark val="none"/>
        <c:tickLblPos val="none"/>
        <c:crossAx val="148274176"/>
        <c:crosses val="autoZero"/>
        <c:crossBetween val="midCat"/>
      </c:valAx>
    </c:plotArea>
    <c:plotVisOnly val="1"/>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plotArea>
      <c:layout/>
      <c:lineChart>
        <c:grouping val="standard"/>
        <c:ser>
          <c:idx val="2"/>
          <c:order val="0"/>
          <c:tx>
            <c:strRef>
              <c:f>Plots!$A$2</c:f>
              <c:strCache>
                <c:ptCount val="1"/>
                <c:pt idx="0">
                  <c:v>0.95</c:v>
                </c:pt>
              </c:strCache>
            </c:strRef>
          </c:tx>
          <c:spPr>
            <a:ln w="15875">
              <a:solidFill>
                <a:prstClr val="black"/>
              </a:solidFill>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Plots!$B$2:$W$2</c:f>
              <c:numCache>
                <c:formatCode>General</c:formatCode>
                <c:ptCount val="22"/>
                <c:pt idx="0">
                  <c:v>2567.982</c:v>
                </c:pt>
                <c:pt idx="1">
                  <c:v>2569.7694999999976</c:v>
                </c:pt>
                <c:pt idx="2">
                  <c:v>2647.0305000000012</c:v>
                </c:pt>
                <c:pt idx="3">
                  <c:v>2920.8015000000023</c:v>
                </c:pt>
                <c:pt idx="4">
                  <c:v>3264.8790000000022</c:v>
                </c:pt>
                <c:pt idx="5">
                  <c:v>3776.0620000000004</c:v>
                </c:pt>
                <c:pt idx="6">
                  <c:v>3744.5034999999998</c:v>
                </c:pt>
                <c:pt idx="7">
                  <c:v>3916.0120000000002</c:v>
                </c:pt>
                <c:pt idx="8">
                  <c:v>4005.9895000000001</c:v>
                </c:pt>
                <c:pt idx="9">
                  <c:v>4761.759</c:v>
                </c:pt>
                <c:pt idx="10">
                  <c:v>5687.6100000000024</c:v>
                </c:pt>
                <c:pt idx="11">
                  <c:v>6713.1045000000004</c:v>
                </c:pt>
                <c:pt idx="12">
                  <c:v>6425.1730000000016</c:v>
                </c:pt>
                <c:pt idx="13">
                  <c:v>7053.3875000000007</c:v>
                </c:pt>
                <c:pt idx="14">
                  <c:v>7988.57</c:v>
                </c:pt>
                <c:pt idx="15">
                  <c:v>9600.1625000000004</c:v>
                </c:pt>
                <c:pt idx="16">
                  <c:v>7753.5970000000007</c:v>
                </c:pt>
                <c:pt idx="17">
                  <c:v>5031.4374999999955</c:v>
                </c:pt>
                <c:pt idx="18">
                  <c:v>4868.9479999999985</c:v>
                </c:pt>
                <c:pt idx="19">
                  <c:v>2885.6774999999998</c:v>
                </c:pt>
                <c:pt idx="20">
                  <c:v>2291.9409999999998</c:v>
                </c:pt>
                <c:pt idx="21">
                  <c:v>2630.3805000000002</c:v>
                </c:pt>
              </c:numCache>
            </c:numRef>
          </c:val>
        </c:ser>
        <c:ser>
          <c:idx val="1"/>
          <c:order val="1"/>
          <c:tx>
            <c:strRef>
              <c:f>Plots!$A$3</c:f>
              <c:strCache>
                <c:ptCount val="1"/>
                <c:pt idx="0">
                  <c:v>0.5</c:v>
                </c:pt>
              </c:strCache>
            </c:strRef>
          </c:tx>
          <c:spPr>
            <a:ln w="25400">
              <a:solidFill>
                <a:schemeClr val="tx1"/>
              </a:solidFill>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Plots!$B$3:$W$3</c:f>
              <c:numCache>
                <c:formatCode>General</c:formatCode>
                <c:ptCount val="22"/>
                <c:pt idx="0">
                  <c:v>2113.2849999999976</c:v>
                </c:pt>
                <c:pt idx="1">
                  <c:v>2172.5299999999997</c:v>
                </c:pt>
                <c:pt idx="2">
                  <c:v>2308.84</c:v>
                </c:pt>
                <c:pt idx="3">
                  <c:v>2568.9399999999996</c:v>
                </c:pt>
                <c:pt idx="4">
                  <c:v>2895.24</c:v>
                </c:pt>
                <c:pt idx="5">
                  <c:v>3356.2150000000001</c:v>
                </c:pt>
                <c:pt idx="6">
                  <c:v>3296.03</c:v>
                </c:pt>
                <c:pt idx="7">
                  <c:v>3457.6950000000002</c:v>
                </c:pt>
                <c:pt idx="8">
                  <c:v>3515.5550000000012</c:v>
                </c:pt>
                <c:pt idx="9">
                  <c:v>4165.2050000000008</c:v>
                </c:pt>
                <c:pt idx="10">
                  <c:v>4953.2350000000006</c:v>
                </c:pt>
                <c:pt idx="11">
                  <c:v>5806.4150000000009</c:v>
                </c:pt>
                <c:pt idx="12">
                  <c:v>5498.76</c:v>
                </c:pt>
                <c:pt idx="13">
                  <c:v>6047.5950000000003</c:v>
                </c:pt>
                <c:pt idx="14">
                  <c:v>6849.05</c:v>
                </c:pt>
                <c:pt idx="15">
                  <c:v>8159.8600000000024</c:v>
                </c:pt>
                <c:pt idx="16">
                  <c:v>6426.6450000000004</c:v>
                </c:pt>
                <c:pt idx="17">
                  <c:v>4242.4250000000002</c:v>
                </c:pt>
                <c:pt idx="18">
                  <c:v>4127.0550000000003</c:v>
                </c:pt>
                <c:pt idx="19">
                  <c:v>2369.6949999999997</c:v>
                </c:pt>
                <c:pt idx="20">
                  <c:v>1872.9949999999999</c:v>
                </c:pt>
                <c:pt idx="21">
                  <c:v>2127.3200000000002</c:v>
                </c:pt>
              </c:numCache>
            </c:numRef>
          </c:val>
        </c:ser>
        <c:ser>
          <c:idx val="0"/>
          <c:order val="2"/>
          <c:tx>
            <c:strRef>
              <c:f>Plots!$A$4</c:f>
              <c:strCache>
                <c:ptCount val="1"/>
                <c:pt idx="0">
                  <c:v>0.05</c:v>
                </c:pt>
              </c:strCache>
            </c:strRef>
          </c:tx>
          <c:spPr>
            <a:ln w="15875">
              <a:solidFill>
                <a:prstClr val="black"/>
              </a:solidFill>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Plots!$B$4:$W$4</c:f>
              <c:numCache>
                <c:formatCode>General</c:formatCode>
                <c:ptCount val="22"/>
                <c:pt idx="0">
                  <c:v>1762.175</c:v>
                </c:pt>
                <c:pt idx="1">
                  <c:v>1871.0150000000001</c:v>
                </c:pt>
                <c:pt idx="2">
                  <c:v>2032.1904999999988</c:v>
                </c:pt>
                <c:pt idx="3">
                  <c:v>2276.3505000000023</c:v>
                </c:pt>
                <c:pt idx="4">
                  <c:v>2589.8224999999998</c:v>
                </c:pt>
                <c:pt idx="5">
                  <c:v>3019.8045000000002</c:v>
                </c:pt>
                <c:pt idx="6">
                  <c:v>2922.9189999999999</c:v>
                </c:pt>
                <c:pt idx="7">
                  <c:v>3055.0940000000001</c:v>
                </c:pt>
                <c:pt idx="8">
                  <c:v>3077.7154999999998</c:v>
                </c:pt>
                <c:pt idx="9">
                  <c:v>3641.7365</c:v>
                </c:pt>
                <c:pt idx="10">
                  <c:v>4306.8555000000024</c:v>
                </c:pt>
                <c:pt idx="11">
                  <c:v>5050.7520000000004</c:v>
                </c:pt>
                <c:pt idx="12">
                  <c:v>4749.7725</c:v>
                </c:pt>
                <c:pt idx="13">
                  <c:v>5164.6725000000024</c:v>
                </c:pt>
                <c:pt idx="14">
                  <c:v>5841.1485000000002</c:v>
                </c:pt>
                <c:pt idx="15">
                  <c:v>6907.4749999999995</c:v>
                </c:pt>
                <c:pt idx="16">
                  <c:v>5248.9860000000008</c:v>
                </c:pt>
                <c:pt idx="17">
                  <c:v>3568.5909999999999</c:v>
                </c:pt>
                <c:pt idx="18">
                  <c:v>3507.404</c:v>
                </c:pt>
                <c:pt idx="19">
                  <c:v>1951.3789999999999</c:v>
                </c:pt>
                <c:pt idx="20">
                  <c:v>1536.9110000000001</c:v>
                </c:pt>
                <c:pt idx="21">
                  <c:v>1710.3639999999998</c:v>
                </c:pt>
              </c:numCache>
            </c:numRef>
          </c:val>
        </c:ser>
        <c:ser>
          <c:idx val="3"/>
          <c:order val="3"/>
          <c:tx>
            <c:strRef>
              <c:f>Plots!$A$5</c:f>
              <c:strCache>
                <c:ptCount val="1"/>
                <c:pt idx="0">
                  <c:v>MLE</c:v>
                </c:pt>
              </c:strCache>
            </c:strRef>
          </c:tx>
          <c:spPr>
            <a:ln w="19050">
              <a:solidFill>
                <a:sysClr val="windowText" lastClr="000000"/>
              </a:solidFill>
              <a:prstDash val="sysDash"/>
            </a:ln>
          </c:spPr>
          <c:marker>
            <c:symbol val="none"/>
          </c:marker>
          <c:cat>
            <c:numRef>
              <c:f>Plots!$B$1:$W$1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Plots!$B$5:$W$5</c:f>
              <c:numCache>
                <c:formatCode>General</c:formatCode>
                <c:ptCount val="22"/>
                <c:pt idx="0">
                  <c:v>1944.95</c:v>
                </c:pt>
                <c:pt idx="1">
                  <c:v>2046.6499999999999</c:v>
                </c:pt>
                <c:pt idx="2">
                  <c:v>2260.6999999999998</c:v>
                </c:pt>
                <c:pt idx="3">
                  <c:v>2545.8500000000022</c:v>
                </c:pt>
                <c:pt idx="4">
                  <c:v>2974.03</c:v>
                </c:pt>
                <c:pt idx="5">
                  <c:v>3488.67</c:v>
                </c:pt>
                <c:pt idx="6">
                  <c:v>3453.7</c:v>
                </c:pt>
                <c:pt idx="7">
                  <c:v>3468.17</c:v>
                </c:pt>
                <c:pt idx="8">
                  <c:v>3487.88</c:v>
                </c:pt>
                <c:pt idx="9">
                  <c:v>4206.8900000000003</c:v>
                </c:pt>
                <c:pt idx="10">
                  <c:v>5055.92</c:v>
                </c:pt>
                <c:pt idx="11">
                  <c:v>6029.2</c:v>
                </c:pt>
                <c:pt idx="12">
                  <c:v>5586.3600000000024</c:v>
                </c:pt>
                <c:pt idx="13">
                  <c:v>6183.91</c:v>
                </c:pt>
                <c:pt idx="14">
                  <c:v>7104.4699999999993</c:v>
                </c:pt>
                <c:pt idx="15">
                  <c:v>8493.02</c:v>
                </c:pt>
                <c:pt idx="16">
                  <c:v>6241.59</c:v>
                </c:pt>
                <c:pt idx="17">
                  <c:v>4066.2</c:v>
                </c:pt>
                <c:pt idx="18">
                  <c:v>4002.7</c:v>
                </c:pt>
                <c:pt idx="19">
                  <c:v>2413.66</c:v>
                </c:pt>
                <c:pt idx="20">
                  <c:v>1811.36</c:v>
                </c:pt>
                <c:pt idx="21">
                  <c:v>2150.7799999999997</c:v>
                </c:pt>
              </c:numCache>
            </c:numRef>
          </c:val>
        </c:ser>
        <c:marker val="1"/>
        <c:axId val="162499200"/>
        <c:axId val="148148608"/>
      </c:lineChart>
      <c:catAx>
        <c:axId val="162499200"/>
        <c:scaling>
          <c:orientation val="minMax"/>
        </c:scaling>
        <c:axPos val="b"/>
        <c:numFmt formatCode="General" sourceLinked="1"/>
        <c:tickLblPos val="nextTo"/>
        <c:txPr>
          <a:bodyPr rot="-5400000" vert="horz"/>
          <a:lstStyle/>
          <a:p>
            <a:pPr>
              <a:defRPr/>
            </a:pPr>
            <a:endParaRPr lang="en-US"/>
          </a:p>
        </c:txPr>
        <c:crossAx val="148148608"/>
        <c:crosses val="autoZero"/>
        <c:auto val="1"/>
        <c:lblAlgn val="ctr"/>
        <c:lblOffset val="100"/>
      </c:catAx>
      <c:valAx>
        <c:axId val="148148608"/>
        <c:scaling>
          <c:orientation val="minMax"/>
        </c:scaling>
        <c:axPos val="l"/>
        <c:title>
          <c:tx>
            <c:rich>
              <a:bodyPr rot="-5400000" vert="horz"/>
              <a:lstStyle/>
              <a:p>
                <a:pPr>
                  <a:defRPr sz="1050"/>
                </a:pPr>
                <a:r>
                  <a:rPr lang="en-GB"/>
                  <a:t>Number of female</a:t>
                </a:r>
                <a:r>
                  <a:rPr lang="en-GB" baseline="0"/>
                  <a:t> moulters</a:t>
                </a:r>
                <a:endParaRPr lang="en-GB"/>
              </a:p>
            </c:rich>
          </c:tx>
        </c:title>
        <c:numFmt formatCode="General" sourceLinked="1"/>
        <c:tickLblPos val="nextTo"/>
        <c:crossAx val="162499200"/>
        <c:crosses val="autoZero"/>
        <c:crossBetween val="between"/>
      </c:valAx>
    </c:plotArea>
    <c:plotVisOnly val="1"/>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plotArea>
      <c:layout/>
      <c:lineChart>
        <c:grouping val="standard"/>
        <c:ser>
          <c:idx val="2"/>
          <c:order val="0"/>
          <c:tx>
            <c:strRef>
              <c:f>Plots!$A$24</c:f>
              <c:strCache>
                <c:ptCount val="1"/>
                <c:pt idx="0">
                  <c:v>0.95</c:v>
                </c:pt>
              </c:strCache>
            </c:strRef>
          </c:tx>
          <c:spPr>
            <a:ln w="15875">
              <a:solidFill>
                <a:prstClr val="black"/>
              </a:solidFill>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Plots!$B$24:$W$24</c:f>
              <c:numCache>
                <c:formatCode>General</c:formatCode>
                <c:ptCount val="22"/>
                <c:pt idx="0">
                  <c:v>0.22858755000000003</c:v>
                </c:pt>
                <c:pt idx="1">
                  <c:v>0.23818295</c:v>
                </c:pt>
                <c:pt idx="2">
                  <c:v>0.19995089999999999</c:v>
                </c:pt>
                <c:pt idx="3">
                  <c:v>0.24317840000000004</c:v>
                </c:pt>
                <c:pt idx="4">
                  <c:v>0.21985695000000013</c:v>
                </c:pt>
                <c:pt idx="5">
                  <c:v>0.20469504999999999</c:v>
                </c:pt>
                <c:pt idx="6">
                  <c:v>0.18520910000000027</c:v>
                </c:pt>
                <c:pt idx="7">
                  <c:v>0.18816535000000018</c:v>
                </c:pt>
                <c:pt idx="8">
                  <c:v>0.24220965000000017</c:v>
                </c:pt>
                <c:pt idx="9">
                  <c:v>0.23427820000000016</c:v>
                </c:pt>
                <c:pt idx="10">
                  <c:v>0.22105015</c:v>
                </c:pt>
                <c:pt idx="11">
                  <c:v>0.20532805000000001</c:v>
                </c:pt>
                <c:pt idx="12">
                  <c:v>0.19443785000000013</c:v>
                </c:pt>
                <c:pt idx="13">
                  <c:v>0.18888830000000018</c:v>
                </c:pt>
                <c:pt idx="14">
                  <c:v>0.23173555000000001</c:v>
                </c:pt>
                <c:pt idx="15">
                  <c:v>0.20572769999999999</c:v>
                </c:pt>
                <c:pt idx="16">
                  <c:v>0.20419115000000004</c:v>
                </c:pt>
                <c:pt idx="17">
                  <c:v>0.27994690000000028</c:v>
                </c:pt>
                <c:pt idx="18">
                  <c:v>0.26019134999999999</c:v>
                </c:pt>
                <c:pt idx="19">
                  <c:v>0.22064365</c:v>
                </c:pt>
                <c:pt idx="20">
                  <c:v>0.30774524999999997</c:v>
                </c:pt>
                <c:pt idx="21">
                  <c:v>0.25933625000000005</c:v>
                </c:pt>
              </c:numCache>
            </c:numRef>
          </c:val>
        </c:ser>
        <c:ser>
          <c:idx val="1"/>
          <c:order val="1"/>
          <c:tx>
            <c:strRef>
              <c:f>Plots!$A$25</c:f>
              <c:strCache>
                <c:ptCount val="1"/>
                <c:pt idx="0">
                  <c:v>0.5</c:v>
                </c:pt>
              </c:strCache>
            </c:strRef>
          </c:tx>
          <c:spPr>
            <a:ln w="25400">
              <a:solidFill>
                <a:schemeClr val="tx1"/>
              </a:solidFill>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Plots!$B$25:$W$25</c:f>
              <c:numCache>
                <c:formatCode>General</c:formatCode>
                <c:ptCount val="22"/>
                <c:pt idx="0">
                  <c:v>0.196634</c:v>
                </c:pt>
                <c:pt idx="1">
                  <c:v>0.20957149999999999</c:v>
                </c:pt>
                <c:pt idx="2">
                  <c:v>0.17534750000000004</c:v>
                </c:pt>
                <c:pt idx="3">
                  <c:v>0.2186015</c:v>
                </c:pt>
                <c:pt idx="4">
                  <c:v>0.19679800000000014</c:v>
                </c:pt>
                <c:pt idx="5">
                  <c:v>0.18161450000000001</c:v>
                </c:pt>
                <c:pt idx="6">
                  <c:v>0.163358</c:v>
                </c:pt>
                <c:pt idx="7">
                  <c:v>0.16651199999999999</c:v>
                </c:pt>
                <c:pt idx="8">
                  <c:v>0.21749050000000014</c:v>
                </c:pt>
                <c:pt idx="9">
                  <c:v>0.20770600000000014</c:v>
                </c:pt>
                <c:pt idx="10">
                  <c:v>0.19860850000000002</c:v>
                </c:pt>
                <c:pt idx="11">
                  <c:v>0.18442600000000017</c:v>
                </c:pt>
                <c:pt idx="12">
                  <c:v>0.17162349999999998</c:v>
                </c:pt>
                <c:pt idx="13">
                  <c:v>0.16546000000000013</c:v>
                </c:pt>
                <c:pt idx="14">
                  <c:v>0.20446250000000013</c:v>
                </c:pt>
                <c:pt idx="15">
                  <c:v>0.18222200000000013</c:v>
                </c:pt>
                <c:pt idx="16">
                  <c:v>0.18193950000000017</c:v>
                </c:pt>
                <c:pt idx="17">
                  <c:v>0.24665150000000002</c:v>
                </c:pt>
                <c:pt idx="18">
                  <c:v>0.23054900000000014</c:v>
                </c:pt>
                <c:pt idx="19">
                  <c:v>0.19583100000000001</c:v>
                </c:pt>
                <c:pt idx="20">
                  <c:v>0.27324199999999998</c:v>
                </c:pt>
                <c:pt idx="21">
                  <c:v>0.228381</c:v>
                </c:pt>
              </c:numCache>
            </c:numRef>
          </c:val>
        </c:ser>
        <c:ser>
          <c:idx val="0"/>
          <c:order val="2"/>
          <c:tx>
            <c:strRef>
              <c:f>Plots!$A$26</c:f>
              <c:strCache>
                <c:ptCount val="1"/>
                <c:pt idx="0">
                  <c:v>0.05</c:v>
                </c:pt>
              </c:strCache>
            </c:strRef>
          </c:tx>
          <c:spPr>
            <a:ln w="15875">
              <a:solidFill>
                <a:prstClr val="black"/>
              </a:solidFill>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Plots!$B$26:$W$26</c:f>
              <c:numCache>
                <c:formatCode>General</c:formatCode>
                <c:ptCount val="22"/>
                <c:pt idx="0">
                  <c:v>0.16735345000000001</c:v>
                </c:pt>
                <c:pt idx="1">
                  <c:v>0.18378645000000027</c:v>
                </c:pt>
                <c:pt idx="2">
                  <c:v>0.15335499999999999</c:v>
                </c:pt>
                <c:pt idx="3">
                  <c:v>0.19417589999999987</c:v>
                </c:pt>
                <c:pt idx="4">
                  <c:v>0.17485215000000001</c:v>
                </c:pt>
                <c:pt idx="5">
                  <c:v>0.15972950000000016</c:v>
                </c:pt>
                <c:pt idx="6">
                  <c:v>0.14378245000000017</c:v>
                </c:pt>
                <c:pt idx="7">
                  <c:v>0.14522750000000001</c:v>
                </c:pt>
                <c:pt idx="8">
                  <c:v>0.19341855000000016</c:v>
                </c:pt>
                <c:pt idx="9">
                  <c:v>0.18144325000000031</c:v>
                </c:pt>
                <c:pt idx="10">
                  <c:v>0.17670820000000023</c:v>
                </c:pt>
                <c:pt idx="11">
                  <c:v>0.16400884999999998</c:v>
                </c:pt>
                <c:pt idx="12">
                  <c:v>0.15061094999999999</c:v>
                </c:pt>
                <c:pt idx="13">
                  <c:v>0.14480379999999998</c:v>
                </c:pt>
                <c:pt idx="14">
                  <c:v>0.17932979999999998</c:v>
                </c:pt>
                <c:pt idx="15">
                  <c:v>0.16015464999999987</c:v>
                </c:pt>
                <c:pt idx="16">
                  <c:v>0.15963730000000023</c:v>
                </c:pt>
                <c:pt idx="17">
                  <c:v>0.21760245000000014</c:v>
                </c:pt>
                <c:pt idx="18">
                  <c:v>0.20253245000000014</c:v>
                </c:pt>
                <c:pt idx="19">
                  <c:v>0.17294920000000027</c:v>
                </c:pt>
                <c:pt idx="20">
                  <c:v>0.24137050000000002</c:v>
                </c:pt>
                <c:pt idx="21">
                  <c:v>0.20223759999999999</c:v>
                </c:pt>
              </c:numCache>
            </c:numRef>
          </c:val>
        </c:ser>
        <c:ser>
          <c:idx val="3"/>
          <c:order val="3"/>
          <c:tx>
            <c:strRef>
              <c:f>Plots!$A$27</c:f>
              <c:strCache>
                <c:ptCount val="1"/>
                <c:pt idx="0">
                  <c:v>MLE</c:v>
                </c:pt>
              </c:strCache>
            </c:strRef>
          </c:tx>
          <c:spPr>
            <a:ln w="19050">
              <a:solidFill>
                <a:sysClr val="windowText" lastClr="000000"/>
              </a:solidFill>
              <a:prstDash val="sysDash"/>
            </a:ln>
          </c:spPr>
          <c:marker>
            <c:symbol val="none"/>
          </c:marker>
          <c:cat>
            <c:numRef>
              <c:f>Plots!$B$23:$W$23</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Plots!$B$27:$W$27</c:f>
              <c:numCache>
                <c:formatCode>General</c:formatCode>
                <c:ptCount val="22"/>
                <c:pt idx="0">
                  <c:v>0.19281200000000001</c:v>
                </c:pt>
                <c:pt idx="1">
                  <c:v>0.20792300000000014</c:v>
                </c:pt>
                <c:pt idx="2">
                  <c:v>0.16900799999999999</c:v>
                </c:pt>
                <c:pt idx="3">
                  <c:v>0.22700200000000001</c:v>
                </c:pt>
                <c:pt idx="4">
                  <c:v>0.19897000000000001</c:v>
                </c:pt>
                <c:pt idx="5">
                  <c:v>0.17484900000000017</c:v>
                </c:pt>
                <c:pt idx="6">
                  <c:v>0.15587899999999999</c:v>
                </c:pt>
                <c:pt idx="7">
                  <c:v>0.16923700000000014</c:v>
                </c:pt>
                <c:pt idx="8">
                  <c:v>0.22562499999999988</c:v>
                </c:pt>
                <c:pt idx="9">
                  <c:v>0.21055000000000001</c:v>
                </c:pt>
                <c:pt idx="10">
                  <c:v>0.20678700000000014</c:v>
                </c:pt>
                <c:pt idx="11">
                  <c:v>0.18813600000000014</c:v>
                </c:pt>
                <c:pt idx="12">
                  <c:v>0.165328</c:v>
                </c:pt>
                <c:pt idx="13">
                  <c:v>0.17230500000000001</c:v>
                </c:pt>
                <c:pt idx="14">
                  <c:v>0.20245099999999999</c:v>
                </c:pt>
                <c:pt idx="15">
                  <c:v>0.17521400000000018</c:v>
                </c:pt>
                <c:pt idx="16">
                  <c:v>0.17629900000000023</c:v>
                </c:pt>
                <c:pt idx="17">
                  <c:v>0.253585</c:v>
                </c:pt>
                <c:pt idx="18">
                  <c:v>0.22917199999999988</c:v>
                </c:pt>
                <c:pt idx="19">
                  <c:v>0.20123600000000014</c:v>
                </c:pt>
                <c:pt idx="20">
                  <c:v>0.28699600000000008</c:v>
                </c:pt>
                <c:pt idx="21">
                  <c:v>0.24788099999999999</c:v>
                </c:pt>
              </c:numCache>
            </c:numRef>
          </c:val>
        </c:ser>
        <c:marker val="1"/>
        <c:axId val="148039552"/>
        <c:axId val="148041088"/>
      </c:lineChart>
      <c:catAx>
        <c:axId val="148039552"/>
        <c:scaling>
          <c:orientation val="minMax"/>
        </c:scaling>
        <c:axPos val="b"/>
        <c:numFmt formatCode="General" sourceLinked="1"/>
        <c:tickLblPos val="nextTo"/>
        <c:txPr>
          <a:bodyPr rot="-5400000" vert="horz"/>
          <a:lstStyle/>
          <a:p>
            <a:pPr>
              <a:defRPr/>
            </a:pPr>
            <a:endParaRPr lang="en-US"/>
          </a:p>
        </c:txPr>
        <c:crossAx val="148041088"/>
        <c:crosses val="autoZero"/>
        <c:auto val="1"/>
        <c:lblAlgn val="ctr"/>
        <c:lblOffset val="100"/>
      </c:catAx>
      <c:valAx>
        <c:axId val="148041088"/>
        <c:scaling>
          <c:orientation val="minMax"/>
        </c:scaling>
        <c:axPos val="l"/>
        <c:title>
          <c:tx>
            <c:rich>
              <a:bodyPr rot="-5400000" vert="horz"/>
              <a:lstStyle/>
              <a:p>
                <a:pPr>
                  <a:defRPr sz="1050"/>
                </a:pPr>
                <a:r>
                  <a:rPr lang="en-GB"/>
                  <a:t>Juvenile proportion</a:t>
                </a:r>
              </a:p>
            </c:rich>
          </c:tx>
        </c:title>
        <c:numFmt formatCode="General" sourceLinked="1"/>
        <c:tickLblPos val="nextTo"/>
        <c:crossAx val="148039552"/>
        <c:crosses val="autoZero"/>
        <c:crossBetween val="between"/>
      </c:valAx>
    </c:plotArea>
    <c:plotVisOnly val="1"/>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plotArea>
      <c:layout/>
      <c:lineChart>
        <c:grouping val="standard"/>
        <c:ser>
          <c:idx val="2"/>
          <c:order val="0"/>
          <c:tx>
            <c:strRef>
              <c:f>Plots!$A$30</c:f>
              <c:strCache>
                <c:ptCount val="1"/>
                <c:pt idx="0">
                  <c:v>0.95</c:v>
                </c:pt>
              </c:strCache>
            </c:strRef>
          </c:tx>
          <c:spPr>
            <a:ln w="15875">
              <a:solidFill>
                <a:prstClr val="black"/>
              </a:solidFill>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Plots!$B$30:$W$30</c:f>
              <c:numCache>
                <c:formatCode>General</c:formatCode>
                <c:ptCount val="22"/>
                <c:pt idx="0">
                  <c:v>0.76993034999999999</c:v>
                </c:pt>
                <c:pt idx="1">
                  <c:v>0.8839572</c:v>
                </c:pt>
                <c:pt idx="2">
                  <c:v>0.89909735000000002</c:v>
                </c:pt>
                <c:pt idx="3">
                  <c:v>0.94640045000000061</c:v>
                </c:pt>
                <c:pt idx="4">
                  <c:v>0.91320975000000004</c:v>
                </c:pt>
                <c:pt idx="5">
                  <c:v>0.94733705000000001</c:v>
                </c:pt>
                <c:pt idx="6">
                  <c:v>0.93873899999999999</c:v>
                </c:pt>
                <c:pt idx="7">
                  <c:v>0.92626174999999944</c:v>
                </c:pt>
                <c:pt idx="8">
                  <c:v>0.89880084999999998</c:v>
                </c:pt>
                <c:pt idx="9">
                  <c:v>0.95296015000000001</c:v>
                </c:pt>
                <c:pt idx="10">
                  <c:v>0.95418025000000062</c:v>
                </c:pt>
                <c:pt idx="11">
                  <c:v>0.95044255</c:v>
                </c:pt>
                <c:pt idx="12">
                  <c:v>0.94536014999999918</c:v>
                </c:pt>
                <c:pt idx="13">
                  <c:v>0.94824854999999997</c:v>
                </c:pt>
                <c:pt idx="14">
                  <c:v>0.95503605000000003</c:v>
                </c:pt>
                <c:pt idx="15">
                  <c:v>0.95574914999999994</c:v>
                </c:pt>
                <c:pt idx="16">
                  <c:v>0.78063994999999997</c:v>
                </c:pt>
                <c:pt idx="17">
                  <c:v>0.61713620000000002</c:v>
                </c:pt>
                <c:pt idx="18">
                  <c:v>0.82360805000000081</c:v>
                </c:pt>
                <c:pt idx="19">
                  <c:v>0.50705020000000001</c:v>
                </c:pt>
                <c:pt idx="20">
                  <c:v>0.78092180000000067</c:v>
                </c:pt>
                <c:pt idx="21">
                  <c:v>0.90004800000000063</c:v>
                </c:pt>
              </c:numCache>
            </c:numRef>
          </c:val>
        </c:ser>
        <c:ser>
          <c:idx val="1"/>
          <c:order val="1"/>
          <c:tx>
            <c:strRef>
              <c:f>Plots!$A$31</c:f>
              <c:strCache>
                <c:ptCount val="1"/>
                <c:pt idx="0">
                  <c:v>0.5</c:v>
                </c:pt>
              </c:strCache>
            </c:strRef>
          </c:tx>
          <c:spPr>
            <a:ln w="25400">
              <a:solidFill>
                <a:schemeClr val="tx1"/>
              </a:solidFill>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Plots!$B$31:$W$31</c:f>
              <c:numCache>
                <c:formatCode>General</c:formatCode>
                <c:ptCount val="22"/>
                <c:pt idx="0">
                  <c:v>0.71212799999999998</c:v>
                </c:pt>
                <c:pt idx="1">
                  <c:v>0.84061600000000003</c:v>
                </c:pt>
                <c:pt idx="2">
                  <c:v>0.8463735</c:v>
                </c:pt>
                <c:pt idx="3">
                  <c:v>0.93380249999999998</c:v>
                </c:pt>
                <c:pt idx="4">
                  <c:v>0.88106649999999931</c:v>
                </c:pt>
                <c:pt idx="5">
                  <c:v>0.93889650000000002</c:v>
                </c:pt>
                <c:pt idx="6">
                  <c:v>0.91513599999999951</c:v>
                </c:pt>
                <c:pt idx="7">
                  <c:v>0.88868199999999997</c:v>
                </c:pt>
                <c:pt idx="8">
                  <c:v>0.85235949999999994</c:v>
                </c:pt>
                <c:pt idx="9">
                  <c:v>0.94710499999999997</c:v>
                </c:pt>
                <c:pt idx="10">
                  <c:v>0.94987350000000004</c:v>
                </c:pt>
                <c:pt idx="11">
                  <c:v>0.94407649999999999</c:v>
                </c:pt>
                <c:pt idx="12">
                  <c:v>0.85771000000000053</c:v>
                </c:pt>
                <c:pt idx="13">
                  <c:v>0.93679400000000068</c:v>
                </c:pt>
                <c:pt idx="14">
                  <c:v>0.95154650000000007</c:v>
                </c:pt>
                <c:pt idx="15">
                  <c:v>0.95270950000000054</c:v>
                </c:pt>
                <c:pt idx="16">
                  <c:v>0.62645550000000005</c:v>
                </c:pt>
                <c:pt idx="17">
                  <c:v>0.53558599999999956</c:v>
                </c:pt>
                <c:pt idx="18">
                  <c:v>0.76061500000000082</c:v>
                </c:pt>
                <c:pt idx="19">
                  <c:v>0.42117450000000034</c:v>
                </c:pt>
                <c:pt idx="20">
                  <c:v>0.66838799999999998</c:v>
                </c:pt>
                <c:pt idx="21">
                  <c:v>0.85485450000000052</c:v>
                </c:pt>
              </c:numCache>
            </c:numRef>
          </c:val>
        </c:ser>
        <c:ser>
          <c:idx val="0"/>
          <c:order val="2"/>
          <c:tx>
            <c:strRef>
              <c:f>Plots!$A$32</c:f>
              <c:strCache>
                <c:ptCount val="1"/>
                <c:pt idx="0">
                  <c:v>0.05</c:v>
                </c:pt>
              </c:strCache>
            </c:strRef>
          </c:tx>
          <c:spPr>
            <a:ln w="15875">
              <a:solidFill>
                <a:prstClr val="black"/>
              </a:solidFill>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Plots!$B$32:$W$32</c:f>
              <c:numCache>
                <c:formatCode>General</c:formatCode>
                <c:ptCount val="22"/>
                <c:pt idx="0">
                  <c:v>0.65565664999999995</c:v>
                </c:pt>
                <c:pt idx="1">
                  <c:v>0.78499370000000002</c:v>
                </c:pt>
                <c:pt idx="2">
                  <c:v>0.75566290000000003</c:v>
                </c:pt>
                <c:pt idx="3">
                  <c:v>0.86310449999999994</c:v>
                </c:pt>
                <c:pt idx="4">
                  <c:v>0.83481534999999996</c:v>
                </c:pt>
                <c:pt idx="5">
                  <c:v>0.91613359999999944</c:v>
                </c:pt>
                <c:pt idx="6">
                  <c:v>0.83879574999999995</c:v>
                </c:pt>
                <c:pt idx="7">
                  <c:v>0.7760708500000012</c:v>
                </c:pt>
                <c:pt idx="8">
                  <c:v>0.76581525000000095</c:v>
                </c:pt>
                <c:pt idx="9">
                  <c:v>0.84445475000000003</c:v>
                </c:pt>
                <c:pt idx="10">
                  <c:v>0.91869380000000056</c:v>
                </c:pt>
                <c:pt idx="11">
                  <c:v>0.92071959999999997</c:v>
                </c:pt>
                <c:pt idx="12">
                  <c:v>0.68044024999999997</c:v>
                </c:pt>
                <c:pt idx="13">
                  <c:v>0.79340070000000007</c:v>
                </c:pt>
                <c:pt idx="14">
                  <c:v>0.93949360000000004</c:v>
                </c:pt>
                <c:pt idx="15">
                  <c:v>0.9432929000000001</c:v>
                </c:pt>
                <c:pt idx="16">
                  <c:v>0.48059475000000001</c:v>
                </c:pt>
                <c:pt idx="17">
                  <c:v>0.45682585000000031</c:v>
                </c:pt>
                <c:pt idx="18">
                  <c:v>0.67332285000000081</c:v>
                </c:pt>
                <c:pt idx="19">
                  <c:v>0.34859835</c:v>
                </c:pt>
                <c:pt idx="20">
                  <c:v>0.52791179999999949</c:v>
                </c:pt>
                <c:pt idx="21">
                  <c:v>0.74605115000000055</c:v>
                </c:pt>
              </c:numCache>
            </c:numRef>
          </c:val>
        </c:ser>
        <c:ser>
          <c:idx val="3"/>
          <c:order val="3"/>
          <c:tx>
            <c:strRef>
              <c:f>Plots!$A$33</c:f>
              <c:strCache>
                <c:ptCount val="1"/>
                <c:pt idx="0">
                  <c:v>MLE</c:v>
                </c:pt>
              </c:strCache>
            </c:strRef>
          </c:tx>
          <c:spPr>
            <a:ln w="19050">
              <a:solidFill>
                <a:sysClr val="windowText" lastClr="000000"/>
              </a:solidFill>
              <a:prstDash val="sysDash"/>
            </a:ln>
          </c:spPr>
          <c:marker>
            <c:symbol val="none"/>
          </c:marker>
          <c:cat>
            <c:numRef>
              <c:f>Plots!$B$29:$W$29</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Plots!$B$33:$W$33</c:f>
              <c:numCache>
                <c:formatCode>General</c:formatCode>
                <c:ptCount val="22"/>
                <c:pt idx="0">
                  <c:v>0.73458400000000001</c:v>
                </c:pt>
                <c:pt idx="1">
                  <c:v>0.86068599999999995</c:v>
                </c:pt>
                <c:pt idx="2">
                  <c:v>0.87622199999999995</c:v>
                </c:pt>
                <c:pt idx="3">
                  <c:v>0.94142000000000003</c:v>
                </c:pt>
                <c:pt idx="4">
                  <c:v>0.89959299999999931</c:v>
                </c:pt>
                <c:pt idx="5">
                  <c:v>0.94337099999999996</c:v>
                </c:pt>
                <c:pt idx="6">
                  <c:v>0.91870000000000052</c:v>
                </c:pt>
                <c:pt idx="7">
                  <c:v>0.84147899999999998</c:v>
                </c:pt>
                <c:pt idx="8">
                  <c:v>0.83494000000000068</c:v>
                </c:pt>
                <c:pt idx="9">
                  <c:v>0.94357800000000003</c:v>
                </c:pt>
                <c:pt idx="10">
                  <c:v>0.94925000000000004</c:v>
                </c:pt>
                <c:pt idx="11">
                  <c:v>0.94560599999999995</c:v>
                </c:pt>
                <c:pt idx="12">
                  <c:v>0.81107899999999999</c:v>
                </c:pt>
                <c:pt idx="13">
                  <c:v>0.93496400000000002</c:v>
                </c:pt>
                <c:pt idx="14">
                  <c:v>0.95237099999999997</c:v>
                </c:pt>
                <c:pt idx="15">
                  <c:v>0.95352400000000004</c:v>
                </c:pt>
                <c:pt idx="16">
                  <c:v>0.58168500000000001</c:v>
                </c:pt>
                <c:pt idx="17">
                  <c:v>0.53269500000000081</c:v>
                </c:pt>
                <c:pt idx="18">
                  <c:v>0.75655700000000004</c:v>
                </c:pt>
                <c:pt idx="19">
                  <c:v>0.44468000000000002</c:v>
                </c:pt>
                <c:pt idx="20">
                  <c:v>0.61594100000000085</c:v>
                </c:pt>
                <c:pt idx="21">
                  <c:v>0.8714450000000008</c:v>
                </c:pt>
              </c:numCache>
            </c:numRef>
          </c:val>
        </c:ser>
        <c:marker val="1"/>
        <c:axId val="148243584"/>
        <c:axId val="148245120"/>
      </c:lineChart>
      <c:catAx>
        <c:axId val="148243584"/>
        <c:scaling>
          <c:orientation val="minMax"/>
        </c:scaling>
        <c:axPos val="b"/>
        <c:numFmt formatCode="General" sourceLinked="1"/>
        <c:tickLblPos val="nextTo"/>
        <c:txPr>
          <a:bodyPr rot="-5400000" vert="horz"/>
          <a:lstStyle/>
          <a:p>
            <a:pPr>
              <a:defRPr/>
            </a:pPr>
            <a:endParaRPr lang="en-US"/>
          </a:p>
        </c:txPr>
        <c:crossAx val="148245120"/>
        <c:crosses val="autoZero"/>
        <c:auto val="1"/>
        <c:lblAlgn val="ctr"/>
        <c:lblOffset val="100"/>
      </c:catAx>
      <c:valAx>
        <c:axId val="148245120"/>
        <c:scaling>
          <c:orientation val="minMax"/>
          <c:max val="1"/>
        </c:scaling>
        <c:axPos val="l"/>
        <c:title>
          <c:tx>
            <c:rich>
              <a:bodyPr rot="-5400000" vert="horz"/>
              <a:lstStyle/>
              <a:p>
                <a:pPr>
                  <a:defRPr sz="1050"/>
                </a:pPr>
                <a:r>
                  <a:rPr lang="en-GB"/>
                  <a:t>Survival</a:t>
                </a:r>
              </a:p>
            </c:rich>
          </c:tx>
        </c:title>
        <c:numFmt formatCode="General" sourceLinked="1"/>
        <c:tickLblPos val="nextTo"/>
        <c:crossAx val="148243584"/>
        <c:crosses val="autoZero"/>
        <c:crossBetween val="between"/>
      </c:valAx>
    </c:plotArea>
    <c:plotVisOnly val="1"/>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plotArea>
      <c:layout/>
      <c:lineChart>
        <c:grouping val="standard"/>
        <c:ser>
          <c:idx val="2"/>
          <c:order val="0"/>
          <c:tx>
            <c:strRef>
              <c:f>Plots!$A$52</c:f>
              <c:strCache>
                <c:ptCount val="1"/>
                <c:pt idx="0">
                  <c:v>0.95</c:v>
                </c:pt>
              </c:strCache>
            </c:strRef>
          </c:tx>
          <c:spPr>
            <a:ln w="15875">
              <a:solidFill>
                <a:prstClr val="black"/>
              </a:solidFill>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Plots!$B$52:$W$52</c:f>
              <c:numCache>
                <c:formatCode>General</c:formatCode>
                <c:ptCount val="22"/>
                <c:pt idx="0">
                  <c:v>0.93282220000000005</c:v>
                </c:pt>
                <c:pt idx="1">
                  <c:v>0.86891180000000068</c:v>
                </c:pt>
                <c:pt idx="2">
                  <c:v>1.0747274999999998</c:v>
                </c:pt>
                <c:pt idx="3">
                  <c:v>1.0372239999999988</c:v>
                </c:pt>
                <c:pt idx="4">
                  <c:v>0.91246044999999931</c:v>
                </c:pt>
                <c:pt idx="5">
                  <c:v>0.8498154500000008</c:v>
                </c:pt>
                <c:pt idx="6">
                  <c:v>0.97939679999999996</c:v>
                </c:pt>
                <c:pt idx="7">
                  <c:v>1.0052544999999988</c:v>
                </c:pt>
                <c:pt idx="8">
                  <c:v>1.002178</c:v>
                </c:pt>
                <c:pt idx="9">
                  <c:v>1.038154</c:v>
                </c:pt>
                <c:pt idx="10">
                  <c:v>1.0007605000000002</c:v>
                </c:pt>
                <c:pt idx="11">
                  <c:v>0.89260960000000056</c:v>
                </c:pt>
                <c:pt idx="12">
                  <c:v>1.102484</c:v>
                </c:pt>
                <c:pt idx="13">
                  <c:v>1.0008639999999998</c:v>
                </c:pt>
                <c:pt idx="14">
                  <c:v>0.91648094999999918</c:v>
                </c:pt>
                <c:pt idx="15">
                  <c:v>0.92106135</c:v>
                </c:pt>
                <c:pt idx="16">
                  <c:v>1.0269044999999988</c:v>
                </c:pt>
                <c:pt idx="17">
                  <c:v>0.90011694999999925</c:v>
                </c:pt>
                <c:pt idx="18">
                  <c:v>0.97263920000000081</c:v>
                </c:pt>
                <c:pt idx="19">
                  <c:v>1.0341335</c:v>
                </c:pt>
                <c:pt idx="20">
                  <c:v>1.115389</c:v>
                </c:pt>
                <c:pt idx="21">
                  <c:v>0.93960305000000055</c:v>
                </c:pt>
              </c:numCache>
            </c:numRef>
          </c:val>
        </c:ser>
        <c:ser>
          <c:idx val="1"/>
          <c:order val="1"/>
          <c:tx>
            <c:strRef>
              <c:f>Plots!$A$53</c:f>
              <c:strCache>
                <c:ptCount val="1"/>
                <c:pt idx="0">
                  <c:v>0.5</c:v>
                </c:pt>
              </c:strCache>
            </c:strRef>
          </c:tx>
          <c:spPr>
            <a:ln w="25400">
              <a:solidFill>
                <a:schemeClr val="tx1"/>
              </a:solidFill>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Plots!$B$53:$W$53</c:f>
              <c:numCache>
                <c:formatCode>General</c:formatCode>
                <c:ptCount val="22"/>
                <c:pt idx="0">
                  <c:v>0.82182699999999997</c:v>
                </c:pt>
                <c:pt idx="1">
                  <c:v>0.74446999999999997</c:v>
                </c:pt>
                <c:pt idx="2">
                  <c:v>0.95510799999999996</c:v>
                </c:pt>
                <c:pt idx="3">
                  <c:v>0.91726550000000007</c:v>
                </c:pt>
                <c:pt idx="4">
                  <c:v>0.78769450000000052</c:v>
                </c:pt>
                <c:pt idx="5">
                  <c:v>0.72856900000000002</c:v>
                </c:pt>
                <c:pt idx="6">
                  <c:v>0.84769900000000098</c:v>
                </c:pt>
                <c:pt idx="7">
                  <c:v>0.89499949999999995</c:v>
                </c:pt>
                <c:pt idx="8">
                  <c:v>0.85957649999999997</c:v>
                </c:pt>
                <c:pt idx="9">
                  <c:v>0.9202285</c:v>
                </c:pt>
                <c:pt idx="10">
                  <c:v>0.87855249999999996</c:v>
                </c:pt>
                <c:pt idx="11">
                  <c:v>0.76883150000000056</c:v>
                </c:pt>
                <c:pt idx="12">
                  <c:v>0.96639799999999998</c:v>
                </c:pt>
                <c:pt idx="13">
                  <c:v>0.86263500000000082</c:v>
                </c:pt>
                <c:pt idx="14">
                  <c:v>0.78330749999999949</c:v>
                </c:pt>
                <c:pt idx="15">
                  <c:v>0.790358</c:v>
                </c:pt>
                <c:pt idx="16">
                  <c:v>0.90450799999999931</c:v>
                </c:pt>
                <c:pt idx="17">
                  <c:v>0.78416449999999949</c:v>
                </c:pt>
                <c:pt idx="18">
                  <c:v>0.85475550000000056</c:v>
                </c:pt>
                <c:pt idx="19">
                  <c:v>0.91136149999999949</c:v>
                </c:pt>
                <c:pt idx="20">
                  <c:v>1.00441</c:v>
                </c:pt>
                <c:pt idx="21">
                  <c:v>0.86334250000000001</c:v>
                </c:pt>
              </c:numCache>
            </c:numRef>
          </c:val>
        </c:ser>
        <c:ser>
          <c:idx val="0"/>
          <c:order val="2"/>
          <c:tx>
            <c:strRef>
              <c:f>Plots!$A$54</c:f>
              <c:strCache>
                <c:ptCount val="1"/>
                <c:pt idx="0">
                  <c:v>0.05</c:v>
                </c:pt>
              </c:strCache>
            </c:strRef>
          </c:tx>
          <c:spPr>
            <a:ln w="15875">
              <a:solidFill>
                <a:prstClr val="black"/>
              </a:solidFill>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Plots!$B$54:$W$54</c:f>
              <c:numCache>
                <c:formatCode>General</c:formatCode>
                <c:ptCount val="22"/>
                <c:pt idx="0">
                  <c:v>0.71096789999999999</c:v>
                </c:pt>
                <c:pt idx="1">
                  <c:v>0.63124150000000068</c:v>
                </c:pt>
                <c:pt idx="2">
                  <c:v>0.82923485000000063</c:v>
                </c:pt>
                <c:pt idx="3">
                  <c:v>0.79402159999999999</c:v>
                </c:pt>
                <c:pt idx="4">
                  <c:v>0.67627565000000112</c:v>
                </c:pt>
                <c:pt idx="5">
                  <c:v>0.62083480000000069</c:v>
                </c:pt>
                <c:pt idx="6">
                  <c:v>0.72411334999999943</c:v>
                </c:pt>
                <c:pt idx="7">
                  <c:v>0.7761395499999999</c:v>
                </c:pt>
                <c:pt idx="8">
                  <c:v>0.72621955000000005</c:v>
                </c:pt>
                <c:pt idx="9">
                  <c:v>0.79805295000000009</c:v>
                </c:pt>
                <c:pt idx="10">
                  <c:v>0.75887810000000055</c:v>
                </c:pt>
                <c:pt idx="11">
                  <c:v>0.65536939999999999</c:v>
                </c:pt>
                <c:pt idx="12">
                  <c:v>0.82858714999999927</c:v>
                </c:pt>
                <c:pt idx="13">
                  <c:v>0.73203574999999999</c:v>
                </c:pt>
                <c:pt idx="14">
                  <c:v>0.66233109999999995</c:v>
                </c:pt>
                <c:pt idx="15">
                  <c:v>0.66870355000000081</c:v>
                </c:pt>
                <c:pt idx="16">
                  <c:v>0.76837875000000055</c:v>
                </c:pt>
                <c:pt idx="17">
                  <c:v>0.67587825000000123</c:v>
                </c:pt>
                <c:pt idx="18">
                  <c:v>0.74166335000000005</c:v>
                </c:pt>
                <c:pt idx="19">
                  <c:v>0.78725294999999917</c:v>
                </c:pt>
                <c:pt idx="20">
                  <c:v>0.88137995000000002</c:v>
                </c:pt>
                <c:pt idx="21">
                  <c:v>0.7956373999999995</c:v>
                </c:pt>
              </c:numCache>
            </c:numRef>
          </c:val>
        </c:ser>
        <c:ser>
          <c:idx val="3"/>
          <c:order val="3"/>
          <c:tx>
            <c:strRef>
              <c:f>Plots!$A$55</c:f>
              <c:strCache>
                <c:ptCount val="1"/>
                <c:pt idx="0">
                  <c:v>MLE</c:v>
                </c:pt>
              </c:strCache>
            </c:strRef>
          </c:tx>
          <c:spPr>
            <a:ln w="19050">
              <a:solidFill>
                <a:sysClr val="windowText" lastClr="000000"/>
              </a:solidFill>
              <a:prstDash val="sysDash"/>
            </a:ln>
          </c:spPr>
          <c:marker>
            <c:symbol val="none"/>
          </c:marker>
          <c:cat>
            <c:numRef>
              <c:f>Plots!$B$51:$W$51</c:f>
              <c:numCache>
                <c:formatCode>General</c:formatCode>
                <c:ptCount val="22"/>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numCache>
            </c:numRef>
          </c:cat>
          <c:val>
            <c:numRef>
              <c:f>Plots!$B$55:$W$55</c:f>
              <c:numCache>
                <c:formatCode>General</c:formatCode>
                <c:ptCount val="22"/>
                <c:pt idx="0">
                  <c:v>0.81271099999999996</c:v>
                </c:pt>
                <c:pt idx="1">
                  <c:v>0.71316100000000004</c:v>
                </c:pt>
                <c:pt idx="2">
                  <c:v>1.01224</c:v>
                </c:pt>
                <c:pt idx="3">
                  <c:v>0.93788499999999997</c:v>
                </c:pt>
                <c:pt idx="4">
                  <c:v>0.76753800000000005</c:v>
                </c:pt>
                <c:pt idx="5">
                  <c:v>0.69530000000000003</c:v>
                </c:pt>
                <c:pt idx="6">
                  <c:v>0.86234200000000005</c:v>
                </c:pt>
                <c:pt idx="7">
                  <c:v>0.8975919999999995</c:v>
                </c:pt>
                <c:pt idx="8">
                  <c:v>0.87096099999999999</c:v>
                </c:pt>
                <c:pt idx="9">
                  <c:v>0.98763599999999996</c:v>
                </c:pt>
                <c:pt idx="10">
                  <c:v>0.92315100000000005</c:v>
                </c:pt>
                <c:pt idx="11">
                  <c:v>0.75070500000000084</c:v>
                </c:pt>
                <c:pt idx="12">
                  <c:v>0.9949179999999993</c:v>
                </c:pt>
                <c:pt idx="13">
                  <c:v>0.86547399999999997</c:v>
                </c:pt>
                <c:pt idx="14">
                  <c:v>0.74641999999999997</c:v>
                </c:pt>
                <c:pt idx="15">
                  <c:v>0.76166000000000056</c:v>
                </c:pt>
                <c:pt idx="16">
                  <c:v>0.87383699999999997</c:v>
                </c:pt>
                <c:pt idx="17">
                  <c:v>0.7705379999999995</c:v>
                </c:pt>
                <c:pt idx="18">
                  <c:v>0.88275000000000003</c:v>
                </c:pt>
                <c:pt idx="19">
                  <c:v>1.0205199999999999</c:v>
                </c:pt>
                <c:pt idx="20">
                  <c:v>1.0869599999999999</c:v>
                </c:pt>
                <c:pt idx="21">
                  <c:v>0.87742799999999999</c:v>
                </c:pt>
              </c:numCache>
            </c:numRef>
          </c:val>
        </c:ser>
        <c:marker val="1"/>
        <c:axId val="148234624"/>
        <c:axId val="148236160"/>
      </c:lineChart>
      <c:catAx>
        <c:axId val="148234624"/>
        <c:scaling>
          <c:orientation val="minMax"/>
        </c:scaling>
        <c:axPos val="b"/>
        <c:numFmt formatCode="General" sourceLinked="1"/>
        <c:tickLblPos val="nextTo"/>
        <c:txPr>
          <a:bodyPr rot="-5400000" vert="horz"/>
          <a:lstStyle/>
          <a:p>
            <a:pPr>
              <a:defRPr/>
            </a:pPr>
            <a:endParaRPr lang="en-US"/>
          </a:p>
        </c:txPr>
        <c:crossAx val="148236160"/>
        <c:crosses val="autoZero"/>
        <c:auto val="1"/>
        <c:lblAlgn val="ctr"/>
        <c:lblOffset val="100"/>
      </c:catAx>
      <c:valAx>
        <c:axId val="148236160"/>
        <c:scaling>
          <c:orientation val="minMax"/>
          <c:max val="1.8"/>
        </c:scaling>
        <c:axPos val="l"/>
        <c:title>
          <c:tx>
            <c:rich>
              <a:bodyPr rot="-5400000" vert="horz"/>
              <a:lstStyle/>
              <a:p>
                <a:pPr>
                  <a:defRPr sz="1050"/>
                </a:pPr>
                <a:r>
                  <a:rPr lang="en-GB"/>
                  <a:t>Reproductive success</a:t>
                </a:r>
              </a:p>
            </c:rich>
          </c:tx>
        </c:title>
        <c:numFmt formatCode="General" sourceLinked="1"/>
        <c:tickLblPos val="nextTo"/>
        <c:crossAx val="148234624"/>
        <c:crosses val="autoZero"/>
        <c:crossBetween val="between"/>
      </c:valAx>
    </c:plotArea>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2152FBD-A177-4EF9-87E6-5E519739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Robinson</dc:creator>
  <cp:keywords/>
  <dc:description/>
  <cp:lastModifiedBy>William Robinson</cp:lastModifiedBy>
  <cp:revision>13</cp:revision>
  <cp:lastPrinted>2010-11-25T11:41:00Z</cp:lastPrinted>
  <dcterms:created xsi:type="dcterms:W3CDTF">2010-11-24T10:46:00Z</dcterms:created>
  <dcterms:modified xsi:type="dcterms:W3CDTF">2010-11-25T11:41:00Z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ies>
</file>