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18" w:rsidRPr="00F91BA7" w:rsidRDefault="00014879" w:rsidP="00F91BA7">
      <w:pPr>
        <w:spacing w:after="0" w:line="240" w:lineRule="auto"/>
        <w:ind w:left="288" w:hanging="28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F91BA7">
        <w:rPr>
          <w:rFonts w:ascii="Times New Roman" w:hAnsi="Times New Roman" w:cs="Times New Roman"/>
          <w:b/>
          <w:sz w:val="24"/>
          <w:szCs w:val="24"/>
        </w:rPr>
        <w:t xml:space="preserve">Estimates of survival of </w:t>
      </w:r>
      <w:r w:rsidR="00014A18" w:rsidRPr="00F91BA7">
        <w:rPr>
          <w:rFonts w:ascii="Times New Roman" w:hAnsi="Times New Roman" w:cs="Times New Roman"/>
          <w:b/>
          <w:sz w:val="24"/>
          <w:szCs w:val="24"/>
        </w:rPr>
        <w:t>African penguins at Dassen and Robben islands, 1993−2007</w:t>
      </w:r>
    </w:p>
    <w:p w:rsidR="00014A18" w:rsidRDefault="00014A18" w:rsidP="00197240">
      <w:pPr>
        <w:spacing w:after="0" w:line="240" w:lineRule="auto"/>
        <w:ind w:left="288" w:hanging="288"/>
        <w:jc w:val="center"/>
        <w:rPr>
          <w:rFonts w:ascii="Times New Roman" w:hAnsi="Times New Roman" w:cs="Times New Roman"/>
          <w:sz w:val="24"/>
          <w:szCs w:val="24"/>
        </w:rPr>
      </w:pPr>
    </w:p>
    <w:p w:rsidR="008307D7" w:rsidRDefault="008307D7" w:rsidP="00B85D25">
      <w:pPr>
        <w:spacing w:after="0" w:line="240" w:lineRule="auto"/>
        <w:ind w:left="288" w:hanging="2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Altwegg and RJM Crawford</w:t>
      </w:r>
    </w:p>
    <w:p w:rsidR="008307D7" w:rsidRDefault="008307D7" w:rsidP="00323CBE">
      <w:pPr>
        <w:spacing w:after="0" w:line="240" w:lineRule="auto"/>
        <w:ind w:left="288" w:hanging="288"/>
        <w:rPr>
          <w:rFonts w:ascii="Times New Roman" w:hAnsi="Times New Roman" w:cs="Times New Roman"/>
          <w:sz w:val="24"/>
          <w:szCs w:val="24"/>
        </w:rPr>
      </w:pPr>
    </w:p>
    <w:p w:rsidR="008307D7" w:rsidRDefault="008307D7" w:rsidP="00830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estimates of adult survival </w:t>
      </w:r>
      <w:r w:rsidR="008534EE">
        <w:rPr>
          <w:rFonts w:ascii="Times New Roman" w:hAnsi="Times New Roman" w:cs="Times New Roman"/>
          <w:sz w:val="24"/>
          <w:szCs w:val="24"/>
        </w:rPr>
        <w:t xml:space="preserve">(S) </w:t>
      </w:r>
      <w:r>
        <w:rPr>
          <w:rFonts w:ascii="Times New Roman" w:hAnsi="Times New Roman" w:cs="Times New Roman"/>
          <w:sz w:val="24"/>
          <w:szCs w:val="24"/>
        </w:rPr>
        <w:t xml:space="preserve">of African penguins at Dassen and Robben islands </w:t>
      </w:r>
      <w:r w:rsidR="00507C82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1993−2007 are collated in the table below. Sources of the estimates are indicated.</w:t>
      </w:r>
      <w:r w:rsidR="00DD5A96">
        <w:rPr>
          <w:rFonts w:ascii="Times New Roman" w:hAnsi="Times New Roman" w:cs="Times New Roman"/>
          <w:sz w:val="24"/>
          <w:szCs w:val="24"/>
        </w:rPr>
        <w:t xml:space="preserve"> The estimate of 0.750 for Robben Island in 1994 is omitted because it was influenced by mortality caused by oil spilt by the </w:t>
      </w:r>
      <w:r w:rsidR="00DD5A96" w:rsidRPr="00DD5A96">
        <w:rPr>
          <w:rFonts w:ascii="Times New Roman" w:hAnsi="Times New Roman" w:cs="Times New Roman"/>
          <w:i/>
          <w:sz w:val="24"/>
          <w:szCs w:val="24"/>
        </w:rPr>
        <w:t>Apollo Sea</w:t>
      </w:r>
      <w:r w:rsidR="00DD5A96">
        <w:rPr>
          <w:rFonts w:ascii="Times New Roman" w:hAnsi="Times New Roman" w:cs="Times New Roman"/>
          <w:sz w:val="24"/>
          <w:szCs w:val="24"/>
        </w:rPr>
        <w:t xml:space="preserve"> in that year.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4EE">
        <w:rPr>
          <w:rFonts w:ascii="Times New Roman" w:hAnsi="Times New Roman" w:cs="Times New Roman"/>
          <w:sz w:val="24"/>
          <w:szCs w:val="24"/>
        </w:rPr>
        <w:t xml:space="preserve">The estimates of </w:t>
      </w:r>
      <w:proofErr w:type="spellStart"/>
      <w:r w:rsidR="008534EE">
        <w:rPr>
          <w:rFonts w:ascii="Times New Roman" w:hAnsi="Times New Roman" w:cs="Times New Roman"/>
          <w:sz w:val="24"/>
          <w:szCs w:val="24"/>
        </w:rPr>
        <w:t>Wolfaardt</w:t>
      </w:r>
      <w:proofErr w:type="spellEnd"/>
      <w:r w:rsidR="008534EE">
        <w:rPr>
          <w:rFonts w:ascii="Times New Roman" w:hAnsi="Times New Roman" w:cs="Times New Roman"/>
          <w:sz w:val="24"/>
          <w:szCs w:val="24"/>
        </w:rPr>
        <w:t xml:space="preserve"> </w:t>
      </w:r>
      <w:r w:rsidR="00014879">
        <w:rPr>
          <w:rFonts w:ascii="Times New Roman" w:hAnsi="Times New Roman" w:cs="Times New Roman"/>
          <w:sz w:val="24"/>
          <w:szCs w:val="24"/>
        </w:rPr>
        <w:t xml:space="preserve">et al. </w:t>
      </w:r>
      <w:r w:rsidR="008534EE">
        <w:rPr>
          <w:rFonts w:ascii="Times New Roman" w:hAnsi="Times New Roman" w:cs="Times New Roman"/>
          <w:sz w:val="24"/>
          <w:szCs w:val="24"/>
        </w:rPr>
        <w:t>(2008) a</w:t>
      </w:r>
      <w:r w:rsidR="003D6870">
        <w:rPr>
          <w:rFonts w:ascii="Times New Roman" w:hAnsi="Times New Roman" w:cs="Times New Roman"/>
          <w:sz w:val="24"/>
          <w:szCs w:val="24"/>
        </w:rPr>
        <w:t>re for de-</w:t>
      </w:r>
      <w:r w:rsidR="00014879">
        <w:rPr>
          <w:rFonts w:ascii="Times New Roman" w:hAnsi="Times New Roman" w:cs="Times New Roman"/>
          <w:sz w:val="24"/>
          <w:szCs w:val="24"/>
        </w:rPr>
        <w:t>oiled breeding African penguins; the authors also provide estimates for non-breeding birds.</w:t>
      </w:r>
      <w:r w:rsidR="003D6870">
        <w:rPr>
          <w:rFonts w:ascii="Times New Roman" w:hAnsi="Times New Roman" w:cs="Times New Roman"/>
          <w:sz w:val="24"/>
          <w:szCs w:val="24"/>
        </w:rPr>
        <w:t xml:space="preserve"> Other estimates </w:t>
      </w:r>
      <w:r w:rsidR="00014879">
        <w:rPr>
          <w:rFonts w:ascii="Times New Roman" w:hAnsi="Times New Roman" w:cs="Times New Roman"/>
          <w:sz w:val="24"/>
          <w:szCs w:val="24"/>
        </w:rPr>
        <w:t xml:space="preserve">below </w:t>
      </w:r>
      <w:r w:rsidR="003D6870">
        <w:rPr>
          <w:rFonts w:ascii="Times New Roman" w:hAnsi="Times New Roman" w:cs="Times New Roman"/>
          <w:sz w:val="24"/>
          <w:szCs w:val="24"/>
        </w:rPr>
        <w:t>pool information for all adult penguins.</w:t>
      </w:r>
    </w:p>
    <w:p w:rsidR="008307D7" w:rsidRDefault="008307D7" w:rsidP="00323CBE">
      <w:pPr>
        <w:spacing w:after="0" w:line="240" w:lineRule="auto"/>
        <w:ind w:left="288" w:hanging="288"/>
        <w:rPr>
          <w:rFonts w:ascii="Times New Roman" w:hAnsi="Times New Roman" w:cs="Times New Roman"/>
          <w:sz w:val="24"/>
          <w:szCs w:val="24"/>
        </w:rPr>
      </w:pPr>
    </w:p>
    <w:tbl>
      <w:tblPr>
        <w:tblW w:w="6840" w:type="dxa"/>
        <w:tblInd w:w="99" w:type="dxa"/>
        <w:tblLook w:val="04A0"/>
      </w:tblPr>
      <w:tblGrid>
        <w:gridCol w:w="960"/>
        <w:gridCol w:w="718"/>
        <w:gridCol w:w="2282"/>
        <w:gridCol w:w="718"/>
        <w:gridCol w:w="2308"/>
      </w:tblGrid>
      <w:tr w:rsidR="00014A18" w:rsidRPr="00014A18" w:rsidTr="00014A1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Dassen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Robben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Source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Source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1993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0.820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Crawford et al. 1999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1994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1995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0.922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14A18">
              <w:rPr>
                <w:rFonts w:ascii="Calibri" w:eastAsia="Times New Roman" w:hAnsi="Calibri" w:cs="Times New Roman"/>
                <w:color w:val="000000"/>
              </w:rPr>
              <w:t>Wolfaardt</w:t>
            </w:r>
            <w:proofErr w:type="spellEnd"/>
            <w:r w:rsidRPr="00014A18">
              <w:rPr>
                <w:rFonts w:ascii="Calibri" w:eastAsia="Times New Roman" w:hAnsi="Calibri" w:cs="Times New Roman"/>
                <w:color w:val="000000"/>
              </w:rPr>
              <w:t xml:space="preserve"> et al 2008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1996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0.891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14A18">
              <w:rPr>
                <w:rFonts w:ascii="Calibri" w:eastAsia="Times New Roman" w:hAnsi="Calibri" w:cs="Times New Roman"/>
                <w:color w:val="000000"/>
              </w:rPr>
              <w:t>Wolfaardt</w:t>
            </w:r>
            <w:proofErr w:type="spellEnd"/>
            <w:r w:rsidRPr="00014A18">
              <w:rPr>
                <w:rFonts w:ascii="Calibri" w:eastAsia="Times New Roman" w:hAnsi="Calibri" w:cs="Times New Roman"/>
                <w:color w:val="000000"/>
              </w:rPr>
              <w:t xml:space="preserve"> et al 2008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1997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0.799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14A18">
              <w:rPr>
                <w:rFonts w:ascii="Calibri" w:eastAsia="Times New Roman" w:hAnsi="Calibri" w:cs="Times New Roman"/>
                <w:color w:val="000000"/>
              </w:rPr>
              <w:t>Wolfaardt</w:t>
            </w:r>
            <w:proofErr w:type="spellEnd"/>
            <w:r w:rsidRPr="00014A18">
              <w:rPr>
                <w:rFonts w:ascii="Calibri" w:eastAsia="Times New Roman" w:hAnsi="Calibri" w:cs="Times New Roman"/>
                <w:color w:val="000000"/>
              </w:rPr>
              <w:t xml:space="preserve"> et al 2008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1998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0.860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14A18">
              <w:rPr>
                <w:rFonts w:ascii="Calibri" w:eastAsia="Times New Roman" w:hAnsi="Calibri" w:cs="Times New Roman"/>
                <w:color w:val="000000"/>
              </w:rPr>
              <w:t>Wolfaardt</w:t>
            </w:r>
            <w:proofErr w:type="spellEnd"/>
            <w:r w:rsidRPr="00014A18">
              <w:rPr>
                <w:rFonts w:ascii="Calibri" w:eastAsia="Times New Roman" w:hAnsi="Calibri" w:cs="Times New Roman"/>
                <w:color w:val="000000"/>
              </w:rPr>
              <w:t xml:space="preserve"> et al 2008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1999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0.886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14A18">
              <w:rPr>
                <w:rFonts w:ascii="Calibri" w:eastAsia="Times New Roman" w:hAnsi="Calibri" w:cs="Times New Roman"/>
                <w:color w:val="000000"/>
              </w:rPr>
              <w:t>Wolfaardt</w:t>
            </w:r>
            <w:proofErr w:type="spellEnd"/>
            <w:r w:rsidRPr="00014A18">
              <w:rPr>
                <w:rFonts w:ascii="Calibri" w:eastAsia="Times New Roman" w:hAnsi="Calibri" w:cs="Times New Roman"/>
                <w:color w:val="000000"/>
              </w:rPr>
              <w:t xml:space="preserve"> et al 2008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0.817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14A18">
              <w:rPr>
                <w:rFonts w:ascii="Calibri" w:eastAsia="Times New Roman" w:hAnsi="Calibri" w:cs="Times New Roman"/>
                <w:color w:val="000000"/>
              </w:rPr>
              <w:t>Wolfaardt</w:t>
            </w:r>
            <w:proofErr w:type="spellEnd"/>
            <w:r w:rsidRPr="00014A18">
              <w:rPr>
                <w:rFonts w:ascii="Calibri" w:eastAsia="Times New Roman" w:hAnsi="Calibri" w:cs="Times New Roman"/>
                <w:color w:val="000000"/>
              </w:rPr>
              <w:t xml:space="preserve"> et al 2008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2001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0.776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14A18">
              <w:rPr>
                <w:rFonts w:ascii="Calibri" w:eastAsia="Times New Roman" w:hAnsi="Calibri" w:cs="Times New Roman"/>
                <w:color w:val="000000"/>
              </w:rPr>
              <w:t>Wolfaardt</w:t>
            </w:r>
            <w:proofErr w:type="spellEnd"/>
            <w:r w:rsidRPr="00014A18">
              <w:rPr>
                <w:rFonts w:ascii="Calibri" w:eastAsia="Times New Roman" w:hAnsi="Calibri" w:cs="Times New Roman"/>
                <w:color w:val="000000"/>
              </w:rPr>
              <w:t xml:space="preserve"> et al 2008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2002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0.861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14A18">
              <w:rPr>
                <w:rFonts w:ascii="Calibri" w:eastAsia="Times New Roman" w:hAnsi="Calibri" w:cs="Times New Roman"/>
                <w:color w:val="000000"/>
              </w:rPr>
              <w:t>Wolfaardt</w:t>
            </w:r>
            <w:proofErr w:type="spellEnd"/>
            <w:r w:rsidRPr="00014A18">
              <w:rPr>
                <w:rFonts w:ascii="Calibri" w:eastAsia="Times New Roman" w:hAnsi="Calibri" w:cs="Times New Roman"/>
                <w:color w:val="000000"/>
              </w:rPr>
              <w:t xml:space="preserve"> et al 2008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2003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0.697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0.765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2004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0.682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0.752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2005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0.561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0.644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2006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0.535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0.620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</w:tr>
      <w:tr w:rsidR="00014A18" w:rsidRPr="00014A18" w:rsidTr="00014A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14A18">
              <w:rPr>
                <w:rFonts w:ascii="Calibri" w:eastAsia="Times New Roman" w:hAnsi="Calibri" w:cs="Times New Roman"/>
              </w:rPr>
              <w:t>2007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0.462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0.548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A18" w:rsidRPr="00014A18" w:rsidRDefault="00014A18" w:rsidP="00014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14A18">
              <w:rPr>
                <w:rFonts w:ascii="Calibri" w:eastAsia="Times New Roman" w:hAnsi="Calibri" w:cs="Times New Roman"/>
                <w:color w:val="000000"/>
              </w:rPr>
              <w:t>Altwegg 2009</w:t>
            </w:r>
          </w:p>
        </w:tc>
      </w:tr>
    </w:tbl>
    <w:p w:rsidR="00014A18" w:rsidRDefault="00014A18" w:rsidP="00323CBE">
      <w:pPr>
        <w:spacing w:after="0" w:line="240" w:lineRule="auto"/>
        <w:ind w:left="288" w:hanging="288"/>
        <w:rPr>
          <w:rFonts w:ascii="Times New Roman" w:hAnsi="Times New Roman" w:cs="Times New Roman"/>
          <w:sz w:val="24"/>
          <w:szCs w:val="24"/>
        </w:rPr>
      </w:pPr>
    </w:p>
    <w:p w:rsidR="00014A18" w:rsidRDefault="00014879" w:rsidP="00014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 (2008) provide estimates of survival in the wild of hand-reared, orphaned chicks for 2000−2004. The chicks were orphaned as a result of the </w:t>
      </w:r>
      <w:r w:rsidRPr="00014879">
        <w:rPr>
          <w:rFonts w:ascii="Times New Roman" w:hAnsi="Times New Roman" w:cs="Times New Roman"/>
          <w:i/>
          <w:sz w:val="24"/>
          <w:szCs w:val="24"/>
        </w:rPr>
        <w:t>Treasure</w:t>
      </w:r>
      <w:r>
        <w:rPr>
          <w:rFonts w:ascii="Times New Roman" w:hAnsi="Times New Roman" w:cs="Times New Roman"/>
          <w:sz w:val="24"/>
          <w:szCs w:val="24"/>
        </w:rPr>
        <w:t xml:space="preserve"> spill. Annual survival of these birds was between 0.4 and 0.5 in 2000 and 2001, when the birds were immature, and increased to &gt; 0.8 in 2002 and 2003.</w:t>
      </w:r>
    </w:p>
    <w:p w:rsidR="00014879" w:rsidRDefault="00014879" w:rsidP="00014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CBE" w:rsidRPr="00014879" w:rsidRDefault="00323CBE" w:rsidP="00014879">
      <w:pPr>
        <w:spacing w:after="0" w:line="240" w:lineRule="auto"/>
        <w:ind w:left="288" w:hanging="288"/>
        <w:rPr>
          <w:rFonts w:ascii="Times New Roman" w:hAnsi="Times New Roman" w:cs="Times New Roman"/>
          <w:sz w:val="24"/>
          <w:szCs w:val="24"/>
        </w:rPr>
      </w:pPr>
      <w:proofErr w:type="gramStart"/>
      <w:r w:rsidRPr="00014A18">
        <w:rPr>
          <w:rFonts w:ascii="Times New Roman" w:hAnsi="Times New Roman" w:cs="Times New Roman"/>
          <w:sz w:val="24"/>
          <w:szCs w:val="24"/>
        </w:rPr>
        <w:t>Altwegg R 2009</w:t>
      </w:r>
      <w:r w:rsidR="00014A18" w:rsidRPr="00014A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4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4879">
        <w:rPr>
          <w:rFonts w:ascii="Times New Roman" w:hAnsi="Times New Roman" w:cs="Times New Roman"/>
          <w:sz w:val="24"/>
          <w:szCs w:val="24"/>
        </w:rPr>
        <w:t>Survival of African p</w:t>
      </w:r>
      <w:r w:rsidRPr="00014A18">
        <w:rPr>
          <w:rFonts w:ascii="Times New Roman" w:hAnsi="Times New Roman" w:cs="Times New Roman"/>
          <w:sz w:val="24"/>
          <w:szCs w:val="24"/>
        </w:rPr>
        <w:t>enguins at Robben and Dassen islands from 2002 to 2006.</w:t>
      </w:r>
      <w:proofErr w:type="gramEnd"/>
      <w:r w:rsidRPr="00014A18">
        <w:rPr>
          <w:rFonts w:ascii="Times New Roman" w:hAnsi="Times New Roman" w:cs="Times New Roman"/>
          <w:sz w:val="24"/>
          <w:szCs w:val="24"/>
        </w:rPr>
        <w:t xml:space="preserve"> </w:t>
      </w:r>
      <w:r w:rsidRPr="00014A18">
        <w:rPr>
          <w:rFonts w:ascii="Times New Roman" w:hAnsi="Times New Roman" w:cs="Times New Roman"/>
          <w:i/>
          <w:sz w:val="24"/>
          <w:szCs w:val="24"/>
        </w:rPr>
        <w:t>MCM/2009/SWG-PEL</w:t>
      </w:r>
      <w:r w:rsidRPr="00014A18">
        <w:rPr>
          <w:rFonts w:ascii="Times New Roman" w:hAnsi="Times New Roman" w:cs="Times New Roman"/>
          <w:sz w:val="24"/>
          <w:szCs w:val="24"/>
        </w:rPr>
        <w:t>/16: 11</w:t>
      </w:r>
      <w:r w:rsidRPr="00014A18">
        <w:rPr>
          <w:rFonts w:ascii="Times New Roman" w:hAnsi="Times New Roman" w:cs="Times New Roman"/>
          <w:bCs/>
          <w:sz w:val="24"/>
          <w:szCs w:val="24"/>
        </w:rPr>
        <w:t>–</w:t>
      </w:r>
      <w:r w:rsidRPr="00014A18">
        <w:rPr>
          <w:rFonts w:ascii="Times New Roman" w:hAnsi="Times New Roman" w:cs="Times New Roman"/>
          <w:sz w:val="24"/>
          <w:szCs w:val="24"/>
        </w:rPr>
        <w:t>17.</w:t>
      </w:r>
    </w:p>
    <w:p w:rsidR="00014879" w:rsidRPr="00014879" w:rsidRDefault="00014879" w:rsidP="00014879">
      <w:pPr>
        <w:spacing w:after="0" w:line="240" w:lineRule="auto"/>
        <w:ind w:left="288" w:hanging="288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PJ, Underhill LG, Crawford RJM, </w:t>
      </w:r>
      <w:proofErr w:type="spellStart"/>
      <w:r>
        <w:rPr>
          <w:rFonts w:ascii="Times New Roman" w:hAnsi="Times New Roman" w:cs="Times New Roman"/>
          <w:sz w:val="24"/>
          <w:szCs w:val="24"/>
        </w:rPr>
        <w:t>Altwegg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>
        <w:rPr>
          <w:rFonts w:ascii="Times New Roman" w:hAnsi="Times New Roman" w:cs="Times New Roman"/>
          <w:sz w:val="24"/>
          <w:szCs w:val="24"/>
        </w:rPr>
        <w:t>Leshoro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TM, Bolton D, Dyer BM,</w:t>
      </w:r>
      <w:r w:rsidRPr="0001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Upfold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014879">
        <w:rPr>
          <w:rFonts w:ascii="Times New Roman" w:hAnsi="Times New Roman" w:cs="Times New Roman"/>
          <w:sz w:val="24"/>
          <w:szCs w:val="24"/>
        </w:rPr>
        <w:t xml:space="preserve"> 2008. </w:t>
      </w:r>
      <w:r>
        <w:rPr>
          <w:rFonts w:ascii="Times New Roman" w:hAnsi="Times New Roman" w:cs="Times New Roman"/>
          <w:bCs/>
          <w:sz w:val="24"/>
          <w:szCs w:val="24"/>
        </w:rPr>
        <w:t>Hand-reared African p</w:t>
      </w:r>
      <w:r w:rsidRPr="00014879">
        <w:rPr>
          <w:rFonts w:ascii="Times New Roman" w:hAnsi="Times New Roman" w:cs="Times New Roman"/>
          <w:bCs/>
          <w:sz w:val="24"/>
          <w:szCs w:val="24"/>
        </w:rPr>
        <w:t xml:space="preserve">enguin chicks orphaned in the </w:t>
      </w:r>
      <w:r w:rsidRPr="00014879">
        <w:rPr>
          <w:rFonts w:ascii="Times New Roman" w:hAnsi="Times New Roman" w:cs="Times New Roman"/>
          <w:bCs/>
          <w:i/>
          <w:sz w:val="24"/>
          <w:szCs w:val="24"/>
        </w:rPr>
        <w:t>Treasure</w:t>
      </w:r>
      <w:r w:rsidRPr="00014879">
        <w:rPr>
          <w:rFonts w:ascii="Times New Roman" w:hAnsi="Times New Roman" w:cs="Times New Roman"/>
          <w:bCs/>
          <w:sz w:val="24"/>
          <w:szCs w:val="24"/>
        </w:rPr>
        <w:t xml:space="preserve"> oil spill in 2000: survival, age at first breeding and breeding productivity. </w:t>
      </w:r>
      <w:r w:rsidRPr="00014879">
        <w:rPr>
          <w:rFonts w:ascii="Times New Roman" w:hAnsi="Times New Roman" w:cs="Times New Roman"/>
          <w:bCs/>
          <w:i/>
          <w:sz w:val="24"/>
          <w:szCs w:val="24"/>
        </w:rPr>
        <w:t>Bird Conservation International</w:t>
      </w:r>
      <w:r w:rsidRPr="00014879">
        <w:rPr>
          <w:rFonts w:ascii="Times New Roman" w:hAnsi="Times New Roman" w:cs="Times New Roman"/>
          <w:bCs/>
          <w:sz w:val="24"/>
          <w:szCs w:val="24"/>
        </w:rPr>
        <w:t xml:space="preserve"> 18: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879">
        <w:rPr>
          <w:rFonts w:ascii="Times New Roman" w:hAnsi="Times New Roman" w:cs="Times New Roman"/>
          <w:bCs/>
          <w:sz w:val="24"/>
          <w:szCs w:val="24"/>
        </w:rPr>
        <w:t>1–9.</w:t>
      </w:r>
    </w:p>
    <w:p w:rsidR="00014A18" w:rsidRPr="00014879" w:rsidRDefault="00014879" w:rsidP="00014879">
      <w:pPr>
        <w:spacing w:after="0" w:line="240" w:lineRule="auto"/>
        <w:ind w:left="288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Crawford RJM, Shannon LJ, Whittington PA</w:t>
      </w:r>
      <w:r w:rsidR="00014A18" w:rsidRPr="00014879">
        <w:rPr>
          <w:rFonts w:ascii="Times New Roman" w:hAnsi="Times New Roman" w:cs="Times New Roman"/>
          <w:sz w:val="24"/>
          <w:szCs w:val="24"/>
        </w:rPr>
        <w:t xml:space="preserve"> 1999. </w:t>
      </w:r>
      <w:proofErr w:type="gramStart"/>
      <w:r w:rsidR="00014A18" w:rsidRPr="00014879">
        <w:rPr>
          <w:rFonts w:ascii="Times New Roman" w:hAnsi="Times New Roman" w:cs="Times New Roman"/>
          <w:sz w:val="24"/>
          <w:szCs w:val="24"/>
        </w:rPr>
        <w:t>Popu</w:t>
      </w:r>
      <w:r>
        <w:rPr>
          <w:rFonts w:ascii="Times New Roman" w:hAnsi="Times New Roman" w:cs="Times New Roman"/>
          <w:sz w:val="24"/>
          <w:szCs w:val="24"/>
        </w:rPr>
        <w:t>lation dynamics of the African p</w:t>
      </w:r>
      <w:r w:rsidR="00014A18" w:rsidRPr="00014879">
        <w:rPr>
          <w:rFonts w:ascii="Times New Roman" w:hAnsi="Times New Roman" w:cs="Times New Roman"/>
          <w:sz w:val="24"/>
          <w:szCs w:val="24"/>
        </w:rPr>
        <w:t>enguin at Robben Island.</w:t>
      </w:r>
      <w:proofErr w:type="gramEnd"/>
      <w:r w:rsidR="00014A18" w:rsidRPr="00014879">
        <w:rPr>
          <w:rFonts w:ascii="Times New Roman" w:hAnsi="Times New Roman" w:cs="Times New Roman"/>
          <w:sz w:val="24"/>
          <w:szCs w:val="24"/>
        </w:rPr>
        <w:t xml:space="preserve"> </w:t>
      </w:r>
      <w:r w:rsidR="00014A18" w:rsidRPr="00014879">
        <w:rPr>
          <w:rFonts w:ascii="Times New Roman" w:hAnsi="Times New Roman" w:cs="Times New Roman"/>
          <w:i/>
          <w:iCs/>
          <w:sz w:val="24"/>
          <w:szCs w:val="24"/>
        </w:rPr>
        <w:t>Marine Ornithology</w:t>
      </w:r>
      <w:r w:rsidR="00014A18" w:rsidRPr="00014879">
        <w:rPr>
          <w:rFonts w:ascii="Times New Roman" w:hAnsi="Times New Roman" w:cs="Times New Roman"/>
          <w:sz w:val="24"/>
          <w:szCs w:val="24"/>
        </w:rPr>
        <w:t xml:space="preserve"> 27: 135–143.</w:t>
      </w:r>
    </w:p>
    <w:bookmarkEnd w:id="0"/>
    <w:bookmarkEnd w:id="1"/>
    <w:p w:rsidR="00B7487A" w:rsidRDefault="00323CBE" w:rsidP="003B0BF0">
      <w:pPr>
        <w:pStyle w:val="BodyTextIndent"/>
        <w:spacing w:after="0"/>
        <w:ind w:left="288" w:hanging="288"/>
        <w:rPr>
          <w:bCs/>
        </w:rPr>
      </w:pPr>
      <w:proofErr w:type="spellStart"/>
      <w:r w:rsidRPr="00014879">
        <w:t>Wolfaardt</w:t>
      </w:r>
      <w:proofErr w:type="spellEnd"/>
      <w:r w:rsidRPr="00014879">
        <w:t xml:space="preserve"> AC, Underhill</w:t>
      </w:r>
      <w:r w:rsidR="00014A18" w:rsidRPr="00014879">
        <w:t xml:space="preserve"> LG, </w:t>
      </w:r>
      <w:proofErr w:type="spellStart"/>
      <w:r w:rsidR="00014A18" w:rsidRPr="00014879">
        <w:t>Altwegg</w:t>
      </w:r>
      <w:proofErr w:type="spellEnd"/>
      <w:r w:rsidR="00014A18" w:rsidRPr="00014879">
        <w:t xml:space="preserve"> R</w:t>
      </w:r>
      <w:r w:rsidR="00014A18" w:rsidRPr="00014A18">
        <w:t xml:space="preserve">, </w:t>
      </w:r>
      <w:proofErr w:type="spellStart"/>
      <w:r w:rsidR="00014A18" w:rsidRPr="00014A18">
        <w:t>Visagie</w:t>
      </w:r>
      <w:proofErr w:type="spellEnd"/>
      <w:r w:rsidR="00014A18" w:rsidRPr="00014A18">
        <w:t xml:space="preserve"> J</w:t>
      </w:r>
      <w:r w:rsidRPr="00014A18">
        <w:t xml:space="preserve"> 2008. </w:t>
      </w:r>
      <w:proofErr w:type="gramStart"/>
      <w:r w:rsidRPr="00014A18">
        <w:t xml:space="preserve">Restoration of oiled African penguins a decade after the </w:t>
      </w:r>
      <w:r w:rsidRPr="00014A18">
        <w:rPr>
          <w:i/>
        </w:rPr>
        <w:t>Apollo Sea</w:t>
      </w:r>
      <w:r w:rsidRPr="00014A18">
        <w:t xml:space="preserve"> spill.</w:t>
      </w:r>
      <w:proofErr w:type="gramEnd"/>
      <w:r w:rsidRPr="00014A18">
        <w:t xml:space="preserve"> </w:t>
      </w:r>
      <w:r w:rsidRPr="00014A18">
        <w:rPr>
          <w:i/>
          <w:snapToGrid w:val="0"/>
          <w:color w:val="000000"/>
        </w:rPr>
        <w:t>African Journal of Marine Science</w:t>
      </w:r>
      <w:r w:rsidRPr="00014A18">
        <w:rPr>
          <w:snapToGrid w:val="0"/>
          <w:color w:val="000000"/>
        </w:rPr>
        <w:t xml:space="preserve"> 30</w:t>
      </w:r>
      <w:r w:rsidR="00796F08">
        <w:t>: 42</w:t>
      </w:r>
      <w:r w:rsidRPr="00014A18">
        <w:t>1</w:t>
      </w:r>
      <w:r w:rsidRPr="00014A18">
        <w:rPr>
          <w:bCs/>
        </w:rPr>
        <w:t>–426.</w:t>
      </w:r>
    </w:p>
    <w:p w:rsidR="00836CAA" w:rsidRDefault="00B7487A" w:rsidP="00014879">
      <w:pPr>
        <w:pStyle w:val="BodyTextIndent"/>
        <w:spacing w:after="0"/>
        <w:ind w:left="288" w:hanging="288"/>
        <w:rPr>
          <w:bCs/>
        </w:rPr>
      </w:pPr>
      <w:r w:rsidRPr="00B7487A">
        <w:rPr>
          <w:bCs/>
          <w:noProof/>
          <w:lang w:val="en-ZA" w:eastAsia="en-ZA"/>
        </w:rPr>
        <w:lastRenderedPageBreak/>
        <w:drawing>
          <wp:inline distT="0" distB="0" distL="0" distR="0">
            <wp:extent cx="5876020" cy="3524111"/>
            <wp:effectExtent l="19050" t="0" r="10430" b="139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0BF0" w:rsidRDefault="003B0BF0" w:rsidP="00014879">
      <w:pPr>
        <w:pStyle w:val="BodyTextIndent"/>
        <w:spacing w:after="0"/>
        <w:ind w:left="288" w:hanging="288"/>
        <w:rPr>
          <w:bCs/>
        </w:rPr>
      </w:pPr>
    </w:p>
    <w:p w:rsidR="003B0BF0" w:rsidRDefault="003B0BF0" w:rsidP="003B0BF0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 w:rsidR="00A74AEF">
        <w:t xml:space="preserve"> (from W. Robinson)</w:t>
      </w:r>
      <w:r>
        <w:t>:</w:t>
      </w:r>
      <w:r w:rsidR="00A90BA0">
        <w:t xml:space="preserve"> Annual penguin survival rate at Robben Island. The Bayesian 90% probability envelope (solid lines)</w:t>
      </w:r>
      <w:r w:rsidR="00B91CD8">
        <w:t xml:space="preserve"> and</w:t>
      </w:r>
      <w:r w:rsidR="00A90BA0">
        <w:t xml:space="preserve"> the joint posterior modes (dashed line) </w:t>
      </w:r>
      <w:r w:rsidR="00B91CD8">
        <w:t xml:space="preserve">from Figure 14 in document MARAM IWS/DEC10/PA/P6 are shown, with the addition of </w:t>
      </w:r>
      <w:r w:rsidR="00A90BA0">
        <w:t>the Altwegg tag analysis estimates (diamonds).</w:t>
      </w:r>
    </w:p>
    <w:p w:rsidR="00A90BA0" w:rsidRPr="00A90BA0" w:rsidRDefault="00A90BA0" w:rsidP="00A90BA0"/>
    <w:p w:rsidR="00B7487A" w:rsidRDefault="00B7487A" w:rsidP="00014879">
      <w:pPr>
        <w:pStyle w:val="BodyTextIndent"/>
        <w:spacing w:after="0"/>
        <w:ind w:left="288" w:hanging="288"/>
        <w:rPr>
          <w:bCs/>
        </w:rPr>
      </w:pPr>
    </w:p>
    <w:p w:rsidR="00B7487A" w:rsidRPr="00014A18" w:rsidRDefault="00B7487A" w:rsidP="00014879">
      <w:pPr>
        <w:pStyle w:val="BodyTextIndent"/>
        <w:spacing w:after="0"/>
        <w:ind w:left="288" w:hanging="288"/>
        <w:rPr>
          <w:bCs/>
        </w:rPr>
      </w:pPr>
    </w:p>
    <w:sectPr w:rsidR="00B7487A" w:rsidRPr="00014A18" w:rsidSect="00836C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521" w:rsidRDefault="00C00521" w:rsidP="003B0BF0">
      <w:pPr>
        <w:spacing w:after="0" w:line="240" w:lineRule="auto"/>
      </w:pPr>
      <w:r>
        <w:separator/>
      </w:r>
    </w:p>
  </w:endnote>
  <w:endnote w:type="continuationSeparator" w:id="0">
    <w:p w:rsidR="00C00521" w:rsidRDefault="00C00521" w:rsidP="003B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95938"/>
      <w:docPartObj>
        <w:docPartGallery w:val="Page Numbers (Bottom of Page)"/>
        <w:docPartUnique/>
      </w:docPartObj>
    </w:sdtPr>
    <w:sdtContent>
      <w:p w:rsidR="003B0BF0" w:rsidRDefault="00AE5598">
        <w:pPr>
          <w:pStyle w:val="Footer"/>
          <w:jc w:val="center"/>
        </w:pPr>
        <w:fldSimple w:instr=" PAGE   \* MERGEFORMAT ">
          <w:r w:rsidR="00B85D25">
            <w:rPr>
              <w:noProof/>
            </w:rPr>
            <w:t>2</w:t>
          </w:r>
        </w:fldSimple>
      </w:p>
    </w:sdtContent>
  </w:sdt>
  <w:p w:rsidR="003B0BF0" w:rsidRDefault="003B0B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521" w:rsidRDefault="00C00521" w:rsidP="003B0BF0">
      <w:pPr>
        <w:spacing w:after="0" w:line="240" w:lineRule="auto"/>
      </w:pPr>
      <w:r>
        <w:separator/>
      </w:r>
    </w:p>
  </w:footnote>
  <w:footnote w:type="continuationSeparator" w:id="0">
    <w:p w:rsidR="00C00521" w:rsidRDefault="00C00521" w:rsidP="003B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F0" w:rsidRPr="003B0BF0" w:rsidRDefault="003B0BF0" w:rsidP="003B0BF0">
    <w:pPr>
      <w:pStyle w:val="Header"/>
      <w:jc w:val="right"/>
      <w:rPr>
        <w:lang w:val="en-ZA"/>
      </w:rPr>
    </w:pPr>
    <w:r>
      <w:rPr>
        <w:lang w:val="en-ZA"/>
      </w:rPr>
      <w:t>MARAM IWS/DEC10/P/WP2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CBE"/>
    <w:rsid w:val="00014879"/>
    <w:rsid w:val="00014A18"/>
    <w:rsid w:val="00197240"/>
    <w:rsid w:val="00201EDA"/>
    <w:rsid w:val="00323CBE"/>
    <w:rsid w:val="003B0BF0"/>
    <w:rsid w:val="003D6870"/>
    <w:rsid w:val="003F28ED"/>
    <w:rsid w:val="00507C82"/>
    <w:rsid w:val="005C36B8"/>
    <w:rsid w:val="00796F08"/>
    <w:rsid w:val="008307D7"/>
    <w:rsid w:val="00836CAA"/>
    <w:rsid w:val="008534EE"/>
    <w:rsid w:val="00940C10"/>
    <w:rsid w:val="00A74AEF"/>
    <w:rsid w:val="00A90BA0"/>
    <w:rsid w:val="00AE5598"/>
    <w:rsid w:val="00B7487A"/>
    <w:rsid w:val="00B85D25"/>
    <w:rsid w:val="00B91CD8"/>
    <w:rsid w:val="00C00521"/>
    <w:rsid w:val="00C25BAC"/>
    <w:rsid w:val="00CE5C62"/>
    <w:rsid w:val="00DD5A96"/>
    <w:rsid w:val="00F80C25"/>
    <w:rsid w:val="00F9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23C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323C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0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BF0"/>
  </w:style>
  <w:style w:type="paragraph" w:styleId="Footer">
    <w:name w:val="footer"/>
    <w:basedOn w:val="Normal"/>
    <w:link w:val="FooterChar"/>
    <w:uiPriority w:val="99"/>
    <w:unhideWhenUsed/>
    <w:rsid w:val="003B0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F0"/>
  </w:style>
  <w:style w:type="paragraph" w:styleId="Caption">
    <w:name w:val="caption"/>
    <w:basedOn w:val="Normal"/>
    <w:next w:val="Normal"/>
    <w:uiPriority w:val="35"/>
    <w:unhideWhenUsed/>
    <w:qFormat/>
    <w:rsid w:val="003B0BF0"/>
    <w:pPr>
      <w:spacing w:before="120" w:line="240" w:lineRule="auto"/>
    </w:pPr>
    <w:rPr>
      <w:bCs/>
      <w:color w:val="000000" w:themeColor="text1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2010\pen_mcmc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2"/>
          <c:order val="0"/>
          <c:tx>
            <c:strRef>
              <c:f>plots!$A$30</c:f>
              <c:strCache>
                <c:ptCount val="1"/>
                <c:pt idx="0">
                  <c:v>0.95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plots!$B$30:$W$30</c:f>
              <c:numCache>
                <c:formatCode>General</c:formatCode>
                <c:ptCount val="22"/>
                <c:pt idx="0">
                  <c:v>0.95915414999999959</c:v>
                </c:pt>
                <c:pt idx="1">
                  <c:v>0.95952904999999999</c:v>
                </c:pt>
                <c:pt idx="2">
                  <c:v>0.95934105000000058</c:v>
                </c:pt>
                <c:pt idx="3">
                  <c:v>0.95957510000000001</c:v>
                </c:pt>
                <c:pt idx="4">
                  <c:v>0.95949010000000001</c:v>
                </c:pt>
                <c:pt idx="5">
                  <c:v>0.95963605000000052</c:v>
                </c:pt>
                <c:pt idx="6">
                  <c:v>0.95947125000000044</c:v>
                </c:pt>
                <c:pt idx="7">
                  <c:v>0.95902739999999997</c:v>
                </c:pt>
                <c:pt idx="8">
                  <c:v>0.95912105000000059</c:v>
                </c:pt>
                <c:pt idx="9">
                  <c:v>0.95953619999999928</c:v>
                </c:pt>
                <c:pt idx="10">
                  <c:v>0.95968900000000046</c:v>
                </c:pt>
                <c:pt idx="11">
                  <c:v>0.95962010000000042</c:v>
                </c:pt>
                <c:pt idx="12">
                  <c:v>0.95946925000000005</c:v>
                </c:pt>
                <c:pt idx="13">
                  <c:v>0.95951505000000004</c:v>
                </c:pt>
                <c:pt idx="14">
                  <c:v>0.95973005000000045</c:v>
                </c:pt>
                <c:pt idx="15">
                  <c:v>0.95971099999999998</c:v>
                </c:pt>
                <c:pt idx="16">
                  <c:v>0.83643735000000008</c:v>
                </c:pt>
                <c:pt idx="17">
                  <c:v>0.85369780000000084</c:v>
                </c:pt>
                <c:pt idx="18">
                  <c:v>0.95886315</c:v>
                </c:pt>
                <c:pt idx="19">
                  <c:v>0.64096704999999998</c:v>
                </c:pt>
                <c:pt idx="20">
                  <c:v>0.7858077999999995</c:v>
                </c:pt>
                <c:pt idx="21">
                  <c:v>0.95940605000000001</c:v>
                </c:pt>
              </c:numCache>
            </c:numRef>
          </c:val>
        </c:ser>
        <c:ser>
          <c:idx val="0"/>
          <c:order val="1"/>
          <c:tx>
            <c:strRef>
              <c:f>plots!$A$32</c:f>
              <c:strCache>
                <c:ptCount val="1"/>
                <c:pt idx="0">
                  <c:v>0.05</c:v>
                </c:pt>
              </c:strCache>
            </c:strRef>
          </c:tx>
          <c:spPr>
            <a:ln w="15875">
              <a:solidFill>
                <a:prstClr val="black"/>
              </a:solidFill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plots!$B$32:$W$32</c:f>
              <c:numCache>
                <c:formatCode>General</c:formatCode>
                <c:ptCount val="22"/>
                <c:pt idx="0">
                  <c:v>0.73146515000000001</c:v>
                </c:pt>
                <c:pt idx="1">
                  <c:v>0.83686780000000005</c:v>
                </c:pt>
                <c:pt idx="2">
                  <c:v>0.80070334999999959</c:v>
                </c:pt>
                <c:pt idx="3">
                  <c:v>0.83951995000000001</c:v>
                </c:pt>
                <c:pt idx="4">
                  <c:v>0.85904320000000045</c:v>
                </c:pt>
                <c:pt idx="5">
                  <c:v>0.86171534999999999</c:v>
                </c:pt>
                <c:pt idx="6">
                  <c:v>0.77782015000000027</c:v>
                </c:pt>
                <c:pt idx="7">
                  <c:v>0.65234025000000084</c:v>
                </c:pt>
                <c:pt idx="8">
                  <c:v>0.68330174999999971</c:v>
                </c:pt>
                <c:pt idx="9">
                  <c:v>0.70290414999999951</c:v>
                </c:pt>
                <c:pt idx="10">
                  <c:v>0.76770450000000046</c:v>
                </c:pt>
                <c:pt idx="11">
                  <c:v>0.83745199999999997</c:v>
                </c:pt>
                <c:pt idx="12">
                  <c:v>0.70216285000000001</c:v>
                </c:pt>
                <c:pt idx="13">
                  <c:v>0.77081685000000022</c:v>
                </c:pt>
                <c:pt idx="14">
                  <c:v>0.83214110000000041</c:v>
                </c:pt>
                <c:pt idx="15">
                  <c:v>0.81010099999999996</c:v>
                </c:pt>
                <c:pt idx="16">
                  <c:v>0.3861060500000002</c:v>
                </c:pt>
                <c:pt idx="17">
                  <c:v>0.38007300000000027</c:v>
                </c:pt>
                <c:pt idx="18">
                  <c:v>0.55133050000000006</c:v>
                </c:pt>
                <c:pt idx="19">
                  <c:v>0.32845255000000023</c:v>
                </c:pt>
                <c:pt idx="20">
                  <c:v>0.39883225000000022</c:v>
                </c:pt>
                <c:pt idx="21">
                  <c:v>0.75909575000000074</c:v>
                </c:pt>
              </c:numCache>
            </c:numRef>
          </c:val>
        </c:ser>
        <c:ser>
          <c:idx val="3"/>
          <c:order val="2"/>
          <c:tx>
            <c:strRef>
              <c:f>plots!$A$33</c:f>
              <c:strCache>
                <c:ptCount val="1"/>
                <c:pt idx="0">
                  <c:v>MLE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plots!$B$33:$W$33</c:f>
              <c:numCache>
                <c:formatCode>General</c:formatCode>
                <c:ptCount val="22"/>
                <c:pt idx="0">
                  <c:v>0.73458400000000001</c:v>
                </c:pt>
                <c:pt idx="1">
                  <c:v>0.86068599999999995</c:v>
                </c:pt>
                <c:pt idx="2">
                  <c:v>0.87622199999999995</c:v>
                </c:pt>
                <c:pt idx="3">
                  <c:v>0.94142000000000003</c:v>
                </c:pt>
                <c:pt idx="4">
                  <c:v>0.89959299999999975</c:v>
                </c:pt>
                <c:pt idx="5">
                  <c:v>0.94337099999999996</c:v>
                </c:pt>
                <c:pt idx="6">
                  <c:v>0.91870000000000041</c:v>
                </c:pt>
                <c:pt idx="7">
                  <c:v>0.84147899999999998</c:v>
                </c:pt>
                <c:pt idx="8">
                  <c:v>0.83494000000000046</c:v>
                </c:pt>
                <c:pt idx="9">
                  <c:v>0.94357800000000003</c:v>
                </c:pt>
                <c:pt idx="10">
                  <c:v>0.94925000000000004</c:v>
                </c:pt>
                <c:pt idx="11">
                  <c:v>0.94560599999999995</c:v>
                </c:pt>
                <c:pt idx="12">
                  <c:v>0.81107899999999999</c:v>
                </c:pt>
                <c:pt idx="13">
                  <c:v>0.93496400000000002</c:v>
                </c:pt>
                <c:pt idx="14">
                  <c:v>0.95237099999999997</c:v>
                </c:pt>
                <c:pt idx="15">
                  <c:v>0.95352400000000004</c:v>
                </c:pt>
                <c:pt idx="16">
                  <c:v>0.58168500000000023</c:v>
                </c:pt>
                <c:pt idx="17">
                  <c:v>0.53269500000000058</c:v>
                </c:pt>
                <c:pt idx="18">
                  <c:v>0.75655700000000004</c:v>
                </c:pt>
                <c:pt idx="19">
                  <c:v>0.44468000000000019</c:v>
                </c:pt>
                <c:pt idx="20">
                  <c:v>0.61594100000000074</c:v>
                </c:pt>
                <c:pt idx="21">
                  <c:v>0.87144500000000058</c:v>
                </c:pt>
              </c:numCache>
            </c:numRef>
          </c:val>
        </c:ser>
        <c:ser>
          <c:idx val="1"/>
          <c:order val="3"/>
          <c:tx>
            <c:strRef>
              <c:f>plots!$A$34</c:f>
              <c:strCache>
                <c:ptCount val="1"/>
                <c:pt idx="0">
                  <c:v>Altwegg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6"/>
          </c:marker>
          <c:cat>
            <c:numRef>
              <c:f>plots!$B$29:$W$29</c:f>
              <c:numCache>
                <c:formatCode>General</c:formatCode>
                <c:ptCount val="22"/>
                <c:pt idx="0">
                  <c:v>1988</c:v>
                </c:pt>
                <c:pt idx="1">
                  <c:v>1989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  <c:pt idx="11">
                  <c:v>1999</c:v>
                </c:pt>
                <c:pt idx="12">
                  <c:v>2000</c:v>
                </c:pt>
                <c:pt idx="13">
                  <c:v>2001</c:v>
                </c:pt>
                <c:pt idx="14">
                  <c:v>2002</c:v>
                </c:pt>
                <c:pt idx="15">
                  <c:v>2003</c:v>
                </c:pt>
                <c:pt idx="16">
                  <c:v>2004</c:v>
                </c:pt>
                <c:pt idx="17">
                  <c:v>2005</c:v>
                </c:pt>
                <c:pt idx="18">
                  <c:v>2006</c:v>
                </c:pt>
                <c:pt idx="19">
                  <c:v>2007</c:v>
                </c:pt>
                <c:pt idx="20">
                  <c:v>2008</c:v>
                </c:pt>
                <c:pt idx="21">
                  <c:v>2009</c:v>
                </c:pt>
              </c:numCache>
            </c:numRef>
          </c:cat>
          <c:val>
            <c:numRef>
              <c:f>plots!$B$34:$W$34</c:f>
              <c:numCache>
                <c:formatCode>General</c:formatCode>
                <c:ptCount val="22"/>
                <c:pt idx="15">
                  <c:v>0.76500000000000046</c:v>
                </c:pt>
                <c:pt idx="16">
                  <c:v>0.75200000000000045</c:v>
                </c:pt>
                <c:pt idx="17">
                  <c:v>0.64400000000000046</c:v>
                </c:pt>
                <c:pt idx="18">
                  <c:v>0.62000000000000044</c:v>
                </c:pt>
                <c:pt idx="19">
                  <c:v>0.54800000000000004</c:v>
                </c:pt>
              </c:numCache>
            </c:numRef>
          </c:val>
        </c:ser>
        <c:marker val="1"/>
        <c:axId val="74362240"/>
        <c:axId val="74372224"/>
      </c:lineChart>
      <c:catAx>
        <c:axId val="74362240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74372224"/>
        <c:crosses val="autoZero"/>
        <c:auto val="1"/>
        <c:lblAlgn val="ctr"/>
        <c:lblOffset val="100"/>
      </c:catAx>
      <c:valAx>
        <c:axId val="7437222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en-GB"/>
                  <a:t>Survival rate</a:t>
                </a:r>
              </a:p>
            </c:rich>
          </c:tx>
          <c:layout/>
        </c:title>
        <c:numFmt formatCode="General" sourceLinked="1"/>
        <c:tickLblPos val="nextTo"/>
        <c:crossAx val="74362240"/>
        <c:crosses val="autoZero"/>
        <c:crossBetween val="between"/>
      </c:valAx>
    </c:plotArea>
    <c:plotVisOnly val="1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99C601D-EB50-44F2-93FD-081B189B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</dc:creator>
  <cp:keywords/>
  <dc:description/>
  <cp:lastModifiedBy>New Win User</cp:lastModifiedBy>
  <cp:revision>7</cp:revision>
  <dcterms:created xsi:type="dcterms:W3CDTF">2010-11-30T16:47:00Z</dcterms:created>
  <dcterms:modified xsi:type="dcterms:W3CDTF">2010-12-28T11:16:00Z</dcterms:modified>
</cp:coreProperties>
</file>