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07C" w:rsidRPr="00DA3B0B" w:rsidRDefault="00DA3B0B" w:rsidP="00DA3B0B">
      <w:pPr>
        <w:jc w:val="center"/>
        <w:rPr>
          <w:sz w:val="28"/>
          <w:szCs w:val="28"/>
        </w:rPr>
      </w:pPr>
      <w:r w:rsidRPr="00DA3B0B">
        <w:rPr>
          <w:sz w:val="28"/>
          <w:szCs w:val="28"/>
        </w:rPr>
        <w:t>Current and past OMPs for West Coast Rock Lobster</w:t>
      </w:r>
      <w:r w:rsidR="005668C1">
        <w:rPr>
          <w:sz w:val="28"/>
          <w:szCs w:val="28"/>
        </w:rPr>
        <w:t xml:space="preserve"> – what are appropriate management targets?</w:t>
      </w:r>
    </w:p>
    <w:p w:rsidR="00DA3B0B" w:rsidRDefault="00DA3B0B" w:rsidP="00DA3B0B">
      <w:pPr>
        <w:jc w:val="center"/>
        <w:rPr>
          <w:sz w:val="24"/>
          <w:szCs w:val="24"/>
        </w:rPr>
      </w:pPr>
    </w:p>
    <w:p w:rsidR="00DA3B0B" w:rsidRDefault="00DA3B0B" w:rsidP="00DA3B0B">
      <w:pPr>
        <w:jc w:val="center"/>
        <w:rPr>
          <w:sz w:val="24"/>
          <w:szCs w:val="24"/>
        </w:rPr>
      </w:pPr>
      <w:r>
        <w:rPr>
          <w:sz w:val="24"/>
          <w:szCs w:val="24"/>
        </w:rPr>
        <w:t>S.J. Johnston and D.S. Butterworth</w:t>
      </w:r>
    </w:p>
    <w:p w:rsidR="00DA3B0B" w:rsidRDefault="00DA3B0B" w:rsidP="00DA3B0B">
      <w:pPr>
        <w:pBdr>
          <w:bottom w:val="single" w:sz="4" w:space="1" w:color="auto"/>
        </w:pBdr>
        <w:rPr>
          <w:sz w:val="24"/>
          <w:szCs w:val="24"/>
        </w:rPr>
      </w:pPr>
    </w:p>
    <w:p w:rsidR="00DA3B0B" w:rsidRDefault="00DA3B0B">
      <w:pPr>
        <w:rPr>
          <w:sz w:val="24"/>
          <w:szCs w:val="24"/>
        </w:rPr>
      </w:pPr>
      <w:r>
        <w:rPr>
          <w:sz w:val="24"/>
          <w:szCs w:val="24"/>
        </w:rPr>
        <w:t>This document provides a short review of past OMPs that have be</w:t>
      </w:r>
      <w:r w:rsidR="00CB0AA7">
        <w:rPr>
          <w:sz w:val="24"/>
          <w:szCs w:val="24"/>
        </w:rPr>
        <w:t>en developed to set annual TAC</w:t>
      </w:r>
      <w:r>
        <w:rPr>
          <w:sz w:val="24"/>
          <w:szCs w:val="24"/>
        </w:rPr>
        <w:t>s for the west coast rock lobste</w:t>
      </w:r>
      <w:r w:rsidR="00A626AD">
        <w:rPr>
          <w:sz w:val="24"/>
          <w:szCs w:val="24"/>
        </w:rPr>
        <w:t>r fishery. A new OMP will shortly</w:t>
      </w:r>
      <w:r>
        <w:rPr>
          <w:sz w:val="24"/>
          <w:szCs w:val="24"/>
        </w:rPr>
        <w:t xml:space="preserve"> be developed for the fishery</w:t>
      </w:r>
      <w:r w:rsidR="00CB0AA7">
        <w:rPr>
          <w:sz w:val="24"/>
          <w:szCs w:val="24"/>
        </w:rPr>
        <w:t xml:space="preserve"> which will be used to set TAC</w:t>
      </w:r>
      <w:r>
        <w:rPr>
          <w:sz w:val="24"/>
          <w:szCs w:val="24"/>
        </w:rPr>
        <w:t xml:space="preserve">s </w:t>
      </w:r>
      <w:r w:rsidR="00CB0AA7">
        <w:rPr>
          <w:sz w:val="24"/>
          <w:szCs w:val="24"/>
        </w:rPr>
        <w:t xml:space="preserve">(and their spatial/user-group breakdown) </w:t>
      </w:r>
      <w:r>
        <w:rPr>
          <w:sz w:val="24"/>
          <w:szCs w:val="24"/>
        </w:rPr>
        <w:t xml:space="preserve">for the 2011/2012+ seasons. This will be the fifth OMP developed for this fishery. A summary of previous OMPs </w:t>
      </w:r>
      <w:r w:rsidR="00A626AD">
        <w:rPr>
          <w:sz w:val="24"/>
          <w:szCs w:val="24"/>
        </w:rPr>
        <w:t>and their associated management targets is given below.</w:t>
      </w:r>
    </w:p>
    <w:p w:rsidR="00DA3B0B" w:rsidRDefault="00DA3B0B">
      <w:pPr>
        <w:rPr>
          <w:sz w:val="24"/>
          <w:szCs w:val="24"/>
        </w:rPr>
      </w:pPr>
    </w:p>
    <w:p w:rsidR="00A626AD" w:rsidRPr="00A626AD" w:rsidRDefault="00A626AD" w:rsidP="00A626AD">
      <w:pPr>
        <w:pStyle w:val="ListParagraph"/>
        <w:numPr>
          <w:ilvl w:val="0"/>
          <w:numId w:val="12"/>
        </w:numPr>
        <w:rPr>
          <w:b/>
          <w:sz w:val="28"/>
          <w:szCs w:val="28"/>
          <w:u w:val="single"/>
        </w:rPr>
      </w:pPr>
      <w:r w:rsidRPr="00A626AD">
        <w:rPr>
          <w:b/>
          <w:sz w:val="28"/>
          <w:szCs w:val="28"/>
          <w:u w:val="single"/>
        </w:rPr>
        <w:t>Previous West Coast Rock Lobster OMPs</w:t>
      </w:r>
    </w:p>
    <w:p w:rsidR="00A626AD" w:rsidRDefault="00A626AD">
      <w:pPr>
        <w:rPr>
          <w:b/>
          <w:sz w:val="24"/>
          <w:szCs w:val="24"/>
        </w:rPr>
      </w:pPr>
    </w:p>
    <w:p w:rsidR="00DA3B0B" w:rsidRDefault="00DA3B0B">
      <w:pPr>
        <w:rPr>
          <w:b/>
          <w:sz w:val="24"/>
          <w:szCs w:val="24"/>
        </w:rPr>
      </w:pPr>
      <w:r w:rsidRPr="00DA3B0B">
        <w:rPr>
          <w:b/>
          <w:sz w:val="24"/>
          <w:szCs w:val="24"/>
        </w:rPr>
        <w:t>OMP 1997</w:t>
      </w:r>
    </w:p>
    <w:p w:rsidR="00DA3B0B" w:rsidRPr="00D74C11" w:rsidRDefault="00DA3B0B" w:rsidP="00DA3B0B">
      <w:pPr>
        <w:pStyle w:val="ListParagraph"/>
        <w:numPr>
          <w:ilvl w:val="0"/>
          <w:numId w:val="1"/>
        </w:numPr>
        <w:rPr>
          <w:sz w:val="24"/>
          <w:szCs w:val="24"/>
        </w:rPr>
      </w:pPr>
      <w:r w:rsidRPr="00D74C11">
        <w:rPr>
          <w:sz w:val="24"/>
          <w:szCs w:val="24"/>
        </w:rPr>
        <w:t xml:space="preserve">Best assessment – area-aggregated: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75</m:t>
            </m:r>
          </m:sub>
        </m:sSub>
        <m:r>
          <w:rPr>
            <w:rFonts w:ascii="Cambria Math" w:hAnsi="Cambria Math"/>
            <w:sz w:val="24"/>
            <w:szCs w:val="24"/>
          </w:rPr>
          <m:t>(1996)/K=</m:t>
        </m:r>
      </m:oMath>
      <w:r w:rsidRPr="00D74C11">
        <w:rPr>
          <w:rFonts w:eastAsiaTheme="minorEastAsia"/>
          <w:sz w:val="24"/>
          <w:szCs w:val="24"/>
        </w:rPr>
        <w:t>0.057</w:t>
      </w:r>
      <w:r w:rsidR="00CB0AA7">
        <w:rPr>
          <w:rFonts w:eastAsiaTheme="minorEastAsia"/>
          <w:sz w:val="24"/>
          <w:szCs w:val="24"/>
        </w:rPr>
        <w:t xml:space="preserve"> where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75</m:t>
            </m:r>
          </m:sub>
        </m:sSub>
      </m:oMath>
      <w:r w:rsidR="00CB0AA7">
        <w:rPr>
          <w:rFonts w:eastAsiaTheme="minorEastAsia"/>
          <w:sz w:val="24"/>
          <w:szCs w:val="24"/>
        </w:rPr>
        <w:t xml:space="preserve"> applies to </w:t>
      </w:r>
      <w:r w:rsidR="00CB0AA7" w:rsidRPr="00B01E58">
        <w:rPr>
          <w:rFonts w:eastAsiaTheme="minorEastAsia"/>
          <w:i/>
          <w:sz w:val="24"/>
          <w:szCs w:val="24"/>
        </w:rPr>
        <w:t>males and females</w:t>
      </w:r>
      <w:r w:rsidR="00CB0AA7">
        <w:rPr>
          <w:rFonts w:eastAsiaTheme="minorEastAsia"/>
          <w:sz w:val="24"/>
          <w:szCs w:val="24"/>
        </w:rPr>
        <w:t xml:space="preserve"> combined</w:t>
      </w:r>
    </w:p>
    <w:p w:rsidR="00DA3B0B" w:rsidRPr="00D74C11" w:rsidRDefault="00DA3B0B" w:rsidP="00DA3B0B">
      <w:pPr>
        <w:pStyle w:val="ListParagraph"/>
        <w:numPr>
          <w:ilvl w:val="0"/>
          <w:numId w:val="1"/>
        </w:numPr>
        <w:rPr>
          <w:sz w:val="24"/>
          <w:szCs w:val="24"/>
        </w:rPr>
      </w:pPr>
      <w:r w:rsidRPr="00D74C11">
        <w:rPr>
          <w:sz w:val="24"/>
          <w:szCs w:val="24"/>
        </w:rPr>
        <w:t>Management endorsed a re-building strategy</w:t>
      </w:r>
    </w:p>
    <w:p w:rsidR="00DA3B0B" w:rsidRPr="00D74C11" w:rsidRDefault="00DA3B0B" w:rsidP="00DA3B0B">
      <w:pPr>
        <w:pStyle w:val="ListParagraph"/>
        <w:numPr>
          <w:ilvl w:val="0"/>
          <w:numId w:val="1"/>
        </w:numPr>
        <w:rPr>
          <w:sz w:val="24"/>
          <w:szCs w:val="24"/>
        </w:rPr>
      </w:pPr>
      <w:r w:rsidRPr="00D74C11">
        <w:rPr>
          <w:sz w:val="24"/>
          <w:szCs w:val="24"/>
        </w:rPr>
        <w:t xml:space="preserve">Re-building targets of 20%-50% above the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75</m:t>
            </m:r>
          </m:sub>
        </m:sSub>
        <m:d>
          <m:dPr>
            <m:ctrlPr>
              <w:rPr>
                <w:rFonts w:ascii="Cambria Math" w:hAnsi="Cambria Math"/>
                <w:i/>
                <w:sz w:val="24"/>
                <w:szCs w:val="24"/>
              </w:rPr>
            </m:ctrlPr>
          </m:dPr>
          <m:e>
            <m:r>
              <w:rPr>
                <w:rFonts w:ascii="Cambria Math" w:hAnsi="Cambria Math"/>
                <w:sz w:val="24"/>
                <w:szCs w:val="24"/>
              </w:rPr>
              <m:t>1996</m:t>
            </m:r>
          </m:e>
        </m:d>
      </m:oMath>
      <w:r w:rsidRPr="00D74C11">
        <w:rPr>
          <w:rFonts w:eastAsiaTheme="minorEastAsia"/>
          <w:sz w:val="24"/>
          <w:szCs w:val="24"/>
        </w:rPr>
        <w:t xml:space="preserve"> level over a 10 year period were considered</w:t>
      </w:r>
    </w:p>
    <w:p w:rsidR="00DA3B0B" w:rsidRPr="00D74C11" w:rsidRDefault="00DA3B0B" w:rsidP="00DA3B0B">
      <w:pPr>
        <w:pStyle w:val="ListParagraph"/>
        <w:numPr>
          <w:ilvl w:val="0"/>
          <w:numId w:val="1"/>
        </w:numPr>
        <w:rPr>
          <w:sz w:val="24"/>
          <w:szCs w:val="24"/>
        </w:rPr>
      </w:pPr>
      <w:r w:rsidRPr="00D74C11">
        <w:rPr>
          <w:sz w:val="24"/>
          <w:szCs w:val="24"/>
        </w:rPr>
        <w:t>1997 TAC levels of 10%-20% above the 1996 level were considered</w:t>
      </w:r>
    </w:p>
    <w:p w:rsidR="00DA3B0B" w:rsidRPr="00D74C11" w:rsidRDefault="00DA3B0B" w:rsidP="00DA3B0B">
      <w:pPr>
        <w:pStyle w:val="ListParagraph"/>
        <w:numPr>
          <w:ilvl w:val="0"/>
          <w:numId w:val="1"/>
        </w:numPr>
        <w:rPr>
          <w:sz w:val="24"/>
          <w:szCs w:val="24"/>
        </w:rPr>
      </w:pPr>
      <w:r w:rsidRPr="00D74C11">
        <w:rPr>
          <w:sz w:val="24"/>
          <w:szCs w:val="24"/>
        </w:rPr>
        <w:t xml:space="preserve">Final OMP </w:t>
      </w:r>
      <w:r w:rsidR="001140D0">
        <w:rPr>
          <w:sz w:val="24"/>
          <w:szCs w:val="24"/>
        </w:rPr>
        <w:t>recommended by the SFAC</w:t>
      </w:r>
      <w:r w:rsidR="00D92C46">
        <w:rPr>
          <w:rStyle w:val="FootnoteReference"/>
          <w:sz w:val="24"/>
          <w:szCs w:val="24"/>
        </w:rPr>
        <w:footnoteReference w:id="2"/>
      </w:r>
      <w:r w:rsidR="00B01E58">
        <w:rPr>
          <w:sz w:val="24"/>
          <w:szCs w:val="24"/>
        </w:rPr>
        <w:t xml:space="preserve"> to the M</w:t>
      </w:r>
      <w:r w:rsidR="001140D0">
        <w:rPr>
          <w:sz w:val="24"/>
          <w:szCs w:val="24"/>
        </w:rPr>
        <w:t>inister was</w:t>
      </w:r>
      <w:r w:rsidRPr="00D74C11">
        <w:rPr>
          <w:sz w:val="24"/>
          <w:szCs w:val="24"/>
        </w:rPr>
        <w:t xml:space="preserve"> the least conservative of the 12 candidate OMPs</w:t>
      </w:r>
    </w:p>
    <w:p w:rsidR="00DA3B0B" w:rsidRPr="00D74C11" w:rsidRDefault="00DA3B0B" w:rsidP="00DA3B0B">
      <w:pPr>
        <w:pStyle w:val="ListParagraph"/>
        <w:numPr>
          <w:ilvl w:val="0"/>
          <w:numId w:val="2"/>
        </w:numPr>
        <w:rPr>
          <w:sz w:val="24"/>
          <w:szCs w:val="24"/>
        </w:rPr>
      </w:pPr>
      <w:r w:rsidRPr="00D74C11">
        <w:rPr>
          <w:sz w:val="24"/>
          <w:szCs w:val="24"/>
        </w:rPr>
        <w:t>20% biomass recovery 1996-2006 period</w:t>
      </w:r>
    </w:p>
    <w:p w:rsidR="00DA3B0B" w:rsidRPr="00D74C11" w:rsidRDefault="00CB0AA7" w:rsidP="00DA3B0B">
      <w:pPr>
        <w:pStyle w:val="ListParagraph"/>
        <w:numPr>
          <w:ilvl w:val="0"/>
          <w:numId w:val="2"/>
        </w:numPr>
        <w:rPr>
          <w:sz w:val="24"/>
          <w:szCs w:val="24"/>
        </w:rPr>
      </w:pPr>
      <w:r>
        <w:rPr>
          <w:sz w:val="24"/>
          <w:szCs w:val="24"/>
        </w:rPr>
        <w:t xml:space="preserve">TAC 1997=20% over </w:t>
      </w:r>
      <w:r w:rsidR="00DA3B0B" w:rsidRPr="00D74C11">
        <w:rPr>
          <w:sz w:val="24"/>
          <w:szCs w:val="24"/>
        </w:rPr>
        <w:t>1996</w:t>
      </w:r>
      <w:r>
        <w:rPr>
          <w:sz w:val="24"/>
          <w:szCs w:val="24"/>
        </w:rPr>
        <w:t xml:space="preserve"> TAC</w:t>
      </w:r>
    </w:p>
    <w:p w:rsidR="00DA3B0B" w:rsidRPr="00D74C11" w:rsidRDefault="00DA3B0B" w:rsidP="00DA3B0B">
      <w:pPr>
        <w:pStyle w:val="ListParagraph"/>
        <w:numPr>
          <w:ilvl w:val="0"/>
          <w:numId w:val="2"/>
        </w:numPr>
        <w:rPr>
          <w:sz w:val="24"/>
          <w:szCs w:val="24"/>
        </w:rPr>
      </w:pPr>
      <w:r w:rsidRPr="00D74C11">
        <w:rPr>
          <w:sz w:val="24"/>
          <w:szCs w:val="24"/>
        </w:rPr>
        <w:t>15% inter-annual TAC constraint</w:t>
      </w:r>
    </w:p>
    <w:p w:rsidR="00DA3B0B" w:rsidRDefault="00DA3B0B" w:rsidP="00DA3B0B">
      <w:pPr>
        <w:ind w:left="1080"/>
        <w:rPr>
          <w:b/>
          <w:sz w:val="24"/>
          <w:szCs w:val="24"/>
        </w:rPr>
      </w:pPr>
    </w:p>
    <w:p w:rsidR="00D92C46" w:rsidRDefault="00D92C46">
      <w:pPr>
        <w:rPr>
          <w:b/>
          <w:sz w:val="24"/>
          <w:szCs w:val="24"/>
        </w:rPr>
      </w:pPr>
      <w:r>
        <w:rPr>
          <w:b/>
          <w:sz w:val="24"/>
          <w:szCs w:val="24"/>
        </w:rPr>
        <w:br w:type="page"/>
      </w:r>
    </w:p>
    <w:p w:rsidR="00DA3B0B" w:rsidRDefault="00F32BB9" w:rsidP="00DA3B0B">
      <w:pPr>
        <w:rPr>
          <w:b/>
          <w:sz w:val="24"/>
          <w:szCs w:val="24"/>
        </w:rPr>
      </w:pPr>
      <w:r>
        <w:rPr>
          <w:b/>
          <w:sz w:val="24"/>
          <w:szCs w:val="24"/>
        </w:rPr>
        <w:lastRenderedPageBreak/>
        <w:t>OMP 2000</w:t>
      </w:r>
    </w:p>
    <w:p w:rsidR="00981934" w:rsidRPr="00D74C11" w:rsidRDefault="00981934" w:rsidP="00981934">
      <w:pPr>
        <w:pStyle w:val="ListParagraph"/>
        <w:numPr>
          <w:ilvl w:val="0"/>
          <w:numId w:val="1"/>
        </w:numPr>
        <w:rPr>
          <w:sz w:val="24"/>
          <w:szCs w:val="24"/>
        </w:rPr>
      </w:pPr>
      <w:r w:rsidRPr="00D74C11">
        <w:rPr>
          <w:sz w:val="24"/>
          <w:szCs w:val="24"/>
        </w:rPr>
        <w:t>Updated assessment – area aggregated:</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75</m:t>
            </m:r>
          </m:sub>
        </m:sSub>
        <m:r>
          <w:rPr>
            <w:rFonts w:ascii="Cambria Math" w:hAnsi="Cambria Math"/>
            <w:sz w:val="24"/>
            <w:szCs w:val="24"/>
          </w:rPr>
          <m:t>(2000)/K=</m:t>
        </m:r>
      </m:oMath>
      <w:r w:rsidRPr="00D74C11">
        <w:rPr>
          <w:rFonts w:eastAsiaTheme="minorEastAsia"/>
          <w:sz w:val="24"/>
          <w:szCs w:val="24"/>
        </w:rPr>
        <w:t>0.057</w:t>
      </w:r>
    </w:p>
    <w:p w:rsidR="002D1801" w:rsidRDefault="00981934" w:rsidP="00981934">
      <w:pPr>
        <w:pStyle w:val="ListParagraph"/>
        <w:numPr>
          <w:ilvl w:val="0"/>
          <w:numId w:val="5"/>
        </w:numPr>
        <w:rPr>
          <w:sz w:val="24"/>
          <w:szCs w:val="24"/>
        </w:rPr>
      </w:pPr>
      <w:r w:rsidRPr="002D1801">
        <w:rPr>
          <w:sz w:val="24"/>
          <w:szCs w:val="24"/>
        </w:rPr>
        <w:t xml:space="preserve">BUT current best assessment showed the current absolute biomass to be some 50% larger than previous assessment (although </w:t>
      </w:r>
      <w:r w:rsidR="00CB0AA7" w:rsidRPr="002D1801">
        <w:rPr>
          <w:sz w:val="24"/>
          <w:szCs w:val="24"/>
        </w:rPr>
        <w:t xml:space="preserve">at </w:t>
      </w:r>
      <w:r w:rsidRPr="002D1801">
        <w:rPr>
          <w:sz w:val="24"/>
          <w:szCs w:val="24"/>
        </w:rPr>
        <w:t>similar levels relative to pristine)</w:t>
      </w:r>
      <w:r w:rsidR="00B01E58">
        <w:rPr>
          <w:sz w:val="24"/>
          <w:szCs w:val="24"/>
        </w:rPr>
        <w:t>.</w:t>
      </w:r>
      <w:r w:rsidR="00CB0AA7" w:rsidRPr="002D1801">
        <w:rPr>
          <w:sz w:val="24"/>
          <w:szCs w:val="24"/>
        </w:rPr>
        <w:t xml:space="preserve"> </w:t>
      </w:r>
      <w:r w:rsidR="002D1801">
        <w:rPr>
          <w:sz w:val="24"/>
          <w:szCs w:val="24"/>
        </w:rPr>
        <w:t>[The new assessment followed re-evaluation of much of the input data and considerable improvement to the assessment methodology, including taking into accoun</w:t>
      </w:r>
      <w:r w:rsidR="00B01E58">
        <w:rPr>
          <w:sz w:val="24"/>
          <w:szCs w:val="24"/>
        </w:rPr>
        <w:t>t the resource East of Hangklip</w:t>
      </w:r>
      <w:r w:rsidR="002D1801">
        <w:rPr>
          <w:sz w:val="24"/>
          <w:szCs w:val="24"/>
        </w:rPr>
        <w:t>.</w:t>
      </w:r>
      <w:r w:rsidR="00B01E58">
        <w:rPr>
          <w:sz w:val="24"/>
          <w:szCs w:val="24"/>
        </w:rPr>
        <w:t>]</w:t>
      </w:r>
    </w:p>
    <w:p w:rsidR="00981934" w:rsidRPr="002D1801" w:rsidRDefault="00D92C46" w:rsidP="00981934">
      <w:pPr>
        <w:pStyle w:val="ListParagraph"/>
        <w:numPr>
          <w:ilvl w:val="0"/>
          <w:numId w:val="5"/>
        </w:numPr>
        <w:rPr>
          <w:sz w:val="24"/>
          <w:szCs w:val="24"/>
        </w:rPr>
      </w:pPr>
      <w:r w:rsidRPr="002D1801">
        <w:rPr>
          <w:sz w:val="24"/>
          <w:szCs w:val="24"/>
        </w:rPr>
        <w:t>The CAF</w:t>
      </w:r>
      <w:r>
        <w:rPr>
          <w:rStyle w:val="FootnoteReference"/>
          <w:sz w:val="24"/>
          <w:szCs w:val="24"/>
        </w:rPr>
        <w:footnoteReference w:id="3"/>
      </w:r>
      <w:r w:rsidR="00981934" w:rsidRPr="002D1801">
        <w:rPr>
          <w:sz w:val="24"/>
          <w:szCs w:val="24"/>
        </w:rPr>
        <w:t xml:space="preserve"> selected an OMP with a lesser target re-building level</w:t>
      </w:r>
      <w:r w:rsidR="00B01E58">
        <w:rPr>
          <w:sz w:val="24"/>
          <w:szCs w:val="24"/>
        </w:rPr>
        <w:t>:</w:t>
      </w:r>
      <w:r w:rsidR="00981934" w:rsidRPr="002D1801">
        <w:rPr>
          <w:sz w:val="24"/>
          <w:szCs w:val="24"/>
        </w:rPr>
        <w:t xml:space="preserve"> </w:t>
      </w:r>
    </w:p>
    <w:p w:rsidR="00981934" w:rsidRPr="00D74C11" w:rsidRDefault="00981934" w:rsidP="00981934">
      <w:pPr>
        <w:pStyle w:val="ListParagraph"/>
        <w:numPr>
          <w:ilvl w:val="0"/>
          <w:numId w:val="6"/>
        </w:numPr>
        <w:rPr>
          <w:sz w:val="24"/>
          <w:szCs w:val="24"/>
        </w:rPr>
      </w:pPr>
      <w:r w:rsidRPr="00D74C11">
        <w:rPr>
          <w:sz w:val="24"/>
          <w:szCs w:val="24"/>
        </w:rPr>
        <w:t xml:space="preserve"> 14% biomass recovery 1996 -2006 period</w:t>
      </w:r>
      <w:r w:rsidR="00CB0AA7">
        <w:rPr>
          <w:sz w:val="24"/>
          <w:szCs w:val="24"/>
        </w:rPr>
        <w:t xml:space="preserve"> (i.e. target dropped by 8%)</w:t>
      </w:r>
    </w:p>
    <w:p w:rsidR="00981934" w:rsidRDefault="00981934" w:rsidP="00981934">
      <w:pPr>
        <w:pStyle w:val="ListParagraph"/>
        <w:numPr>
          <w:ilvl w:val="0"/>
          <w:numId w:val="6"/>
        </w:numPr>
        <w:rPr>
          <w:sz w:val="24"/>
          <w:szCs w:val="24"/>
        </w:rPr>
      </w:pPr>
      <w:r w:rsidRPr="00D74C11">
        <w:rPr>
          <w:sz w:val="24"/>
          <w:szCs w:val="24"/>
        </w:rPr>
        <w:t>6% increase in 2000 TAC compared with 1999 TAC</w:t>
      </w:r>
    </w:p>
    <w:p w:rsidR="00CB0AA7" w:rsidRDefault="00D92C46" w:rsidP="00981934">
      <w:pPr>
        <w:pStyle w:val="ListParagraph"/>
        <w:numPr>
          <w:ilvl w:val="0"/>
          <w:numId w:val="6"/>
        </w:numPr>
        <w:rPr>
          <w:sz w:val="24"/>
          <w:szCs w:val="24"/>
        </w:rPr>
      </w:pPr>
      <w:r>
        <w:rPr>
          <w:sz w:val="24"/>
          <w:szCs w:val="24"/>
        </w:rPr>
        <w:t>15%</w:t>
      </w:r>
      <w:r w:rsidR="00CB0AA7">
        <w:rPr>
          <w:sz w:val="24"/>
          <w:szCs w:val="24"/>
        </w:rPr>
        <w:t xml:space="preserve"> inter-annual catch constraint</w:t>
      </w:r>
    </w:p>
    <w:p w:rsidR="00A626AD" w:rsidRPr="00D74C11" w:rsidRDefault="00A626AD" w:rsidP="00A626AD">
      <w:pPr>
        <w:pStyle w:val="ListParagraph"/>
        <w:ind w:left="1492"/>
        <w:rPr>
          <w:sz w:val="24"/>
          <w:szCs w:val="24"/>
        </w:rPr>
      </w:pPr>
    </w:p>
    <w:p w:rsidR="00981934" w:rsidRDefault="00981934" w:rsidP="00981934">
      <w:pPr>
        <w:rPr>
          <w:b/>
          <w:sz w:val="24"/>
          <w:szCs w:val="24"/>
        </w:rPr>
      </w:pPr>
      <w:r>
        <w:rPr>
          <w:b/>
          <w:sz w:val="24"/>
          <w:szCs w:val="24"/>
        </w:rPr>
        <w:t>OMP 2003</w:t>
      </w:r>
    </w:p>
    <w:p w:rsidR="00981934" w:rsidRPr="00D74C11" w:rsidRDefault="00981934" w:rsidP="00981934">
      <w:pPr>
        <w:pStyle w:val="ListParagraph"/>
        <w:numPr>
          <w:ilvl w:val="0"/>
          <w:numId w:val="7"/>
        </w:numPr>
        <w:rPr>
          <w:sz w:val="24"/>
          <w:szCs w:val="24"/>
        </w:rPr>
      </w:pPr>
      <w:r w:rsidRPr="00D74C11">
        <w:rPr>
          <w:sz w:val="24"/>
          <w:szCs w:val="24"/>
        </w:rPr>
        <w:t xml:space="preserve">Updated area-aggregated assessments – now had two alternate </w:t>
      </w:r>
      <w:r w:rsidR="00B01E58">
        <w:rPr>
          <w:sz w:val="24"/>
          <w:szCs w:val="24"/>
        </w:rPr>
        <w:t xml:space="preserve">operating </w:t>
      </w:r>
      <w:r w:rsidRPr="00D74C11">
        <w:rPr>
          <w:sz w:val="24"/>
          <w:szCs w:val="24"/>
        </w:rPr>
        <w:t>models (RC1 and RC2)</w:t>
      </w:r>
    </w:p>
    <w:p w:rsidR="00981934" w:rsidRPr="00D74C11" w:rsidRDefault="002609A1" w:rsidP="00981934">
      <w:pPr>
        <w:pStyle w:val="ListParagraph"/>
        <w:numPr>
          <w:ilvl w:val="0"/>
          <w:numId w:val="7"/>
        </w:numPr>
        <w:rPr>
          <w:sz w:val="24"/>
          <w:szCs w:val="24"/>
        </w:rPr>
      </w:pP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75</m:t>
            </m:r>
          </m:sub>
        </m:sSub>
        <m:r>
          <w:rPr>
            <w:rFonts w:ascii="Cambria Math" w:hAnsi="Cambria Math"/>
            <w:sz w:val="24"/>
            <w:szCs w:val="24"/>
          </w:rPr>
          <m:t>(2003)/K=</m:t>
        </m:r>
      </m:oMath>
      <w:r w:rsidR="00981934" w:rsidRPr="00D74C11">
        <w:rPr>
          <w:rFonts w:eastAsiaTheme="minorEastAsia"/>
          <w:sz w:val="24"/>
          <w:szCs w:val="24"/>
        </w:rPr>
        <w:t>0.079 for the preferred RC1</w:t>
      </w:r>
    </w:p>
    <w:p w:rsidR="00981934" w:rsidRPr="00D74C11" w:rsidRDefault="00B01E58" w:rsidP="00981934">
      <w:pPr>
        <w:pStyle w:val="ListParagraph"/>
        <w:numPr>
          <w:ilvl w:val="0"/>
          <w:numId w:val="7"/>
        </w:numPr>
        <w:rPr>
          <w:sz w:val="24"/>
          <w:szCs w:val="24"/>
        </w:rPr>
      </w:pPr>
      <w:r>
        <w:rPr>
          <w:sz w:val="24"/>
          <w:szCs w:val="24"/>
        </w:rPr>
        <w:t>Recovery targets:</w:t>
      </w:r>
      <w:r w:rsidR="00981934" w:rsidRPr="00D74C11">
        <w:rPr>
          <w:sz w:val="24"/>
          <w:szCs w:val="24"/>
        </w:rPr>
        <w:t xml:space="preserve"> Discussion of this choice took place in the context that the 2006 recovery targets set under the previous OMPs had already been reached </w:t>
      </w:r>
    </w:p>
    <w:p w:rsidR="00981934" w:rsidRPr="00D74C11" w:rsidRDefault="002609A1" w:rsidP="00981934">
      <w:pPr>
        <w:pStyle w:val="ListParagraph"/>
        <w:numPr>
          <w:ilvl w:val="0"/>
          <w:numId w:val="8"/>
        </w:numPr>
        <w:rPr>
          <w:sz w:val="24"/>
          <w:szCs w:val="24"/>
        </w:rPr>
      </w:pP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75</m:t>
            </m:r>
          </m:sub>
        </m:sSub>
        <m:r>
          <w:rPr>
            <w:rFonts w:ascii="Cambria Math" w:hAnsi="Cambria Math"/>
            <w:sz w:val="24"/>
            <w:szCs w:val="24"/>
          </w:rPr>
          <m:t>(2003)/</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75</m:t>
            </m:r>
          </m:sub>
        </m:sSub>
        <m:r>
          <w:rPr>
            <w:rFonts w:ascii="Cambria Math" w:hAnsi="Cambria Math"/>
            <w:sz w:val="24"/>
            <w:szCs w:val="24"/>
          </w:rPr>
          <m:t>(1996)</m:t>
        </m:r>
      </m:oMath>
      <w:r w:rsidR="00590D0A">
        <w:rPr>
          <w:rFonts w:eastAsiaTheme="minorEastAsia"/>
          <w:sz w:val="24"/>
          <w:szCs w:val="24"/>
        </w:rPr>
        <w:t>=1.53 for RC1 and = 1.01</w:t>
      </w:r>
      <w:r w:rsidR="0089087B" w:rsidRPr="00D74C11">
        <w:rPr>
          <w:rFonts w:eastAsiaTheme="minorEastAsia"/>
          <w:sz w:val="24"/>
          <w:szCs w:val="24"/>
        </w:rPr>
        <w:t xml:space="preserve"> for RC2</w:t>
      </w:r>
    </w:p>
    <w:p w:rsidR="0089087B" w:rsidRPr="00D74C11" w:rsidRDefault="0089087B" w:rsidP="0089087B">
      <w:pPr>
        <w:pStyle w:val="ListParagraph"/>
        <w:numPr>
          <w:ilvl w:val="0"/>
          <w:numId w:val="9"/>
        </w:numPr>
        <w:rPr>
          <w:sz w:val="24"/>
          <w:szCs w:val="24"/>
        </w:rPr>
      </w:pPr>
      <w:r w:rsidRPr="00D74C11">
        <w:rPr>
          <w:sz w:val="24"/>
          <w:szCs w:val="24"/>
        </w:rPr>
        <w:t>Final</w:t>
      </w:r>
      <w:r w:rsidR="002D1801">
        <w:rPr>
          <w:sz w:val="24"/>
          <w:szCs w:val="24"/>
        </w:rPr>
        <w:t xml:space="preserve"> OMP which was recommended by the Scientific Working Group and adopted by the minister was</w:t>
      </w:r>
      <w:r w:rsidRPr="00D74C11">
        <w:rPr>
          <w:sz w:val="24"/>
          <w:szCs w:val="24"/>
        </w:rPr>
        <w:t xml:space="preserve"> made by integrating ov</w:t>
      </w:r>
      <w:r w:rsidR="00B01E58">
        <w:rPr>
          <w:sz w:val="24"/>
          <w:szCs w:val="24"/>
        </w:rPr>
        <w:t>er many scenarios and considering</w:t>
      </w:r>
      <w:r w:rsidRPr="00D74C11">
        <w:rPr>
          <w:sz w:val="24"/>
          <w:szCs w:val="24"/>
        </w:rPr>
        <w:t xml:space="preserve"> median expected recovery and the 80% probability envelopes</w:t>
      </w:r>
      <w:r w:rsidR="00B01E58">
        <w:rPr>
          <w:sz w:val="24"/>
          <w:szCs w:val="24"/>
        </w:rPr>
        <w:t>:</w:t>
      </w:r>
    </w:p>
    <w:p w:rsidR="0089087B" w:rsidRPr="00D74C11" w:rsidRDefault="002609A1" w:rsidP="0089087B">
      <w:pPr>
        <w:pStyle w:val="ListParagraph"/>
        <w:numPr>
          <w:ilvl w:val="0"/>
          <w:numId w:val="8"/>
        </w:numPr>
        <w:rPr>
          <w:sz w:val="24"/>
          <w:szCs w:val="24"/>
        </w:rPr>
      </w:pP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75</m:t>
            </m:r>
          </m:sub>
        </m:sSub>
        <m:r>
          <w:rPr>
            <w:rFonts w:ascii="Cambria Math" w:hAnsi="Cambria Math"/>
            <w:sz w:val="24"/>
            <w:szCs w:val="24"/>
          </w:rPr>
          <m:t>(2013)/</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75</m:t>
            </m:r>
          </m:sub>
        </m:sSub>
        <m:r>
          <w:rPr>
            <w:rFonts w:ascii="Cambria Math" w:hAnsi="Cambria Math"/>
            <w:sz w:val="24"/>
            <w:szCs w:val="24"/>
          </w:rPr>
          <m:t>(2003)</m:t>
        </m:r>
      </m:oMath>
      <w:r w:rsidR="0089087B" w:rsidRPr="00D74C11">
        <w:rPr>
          <w:rFonts w:eastAsiaTheme="minorEastAsia"/>
          <w:sz w:val="24"/>
          <w:szCs w:val="24"/>
        </w:rPr>
        <w:t>=1.15 (0.67; 2.50) for RC1</w:t>
      </w:r>
    </w:p>
    <w:p w:rsidR="0089087B" w:rsidRPr="00D74C11" w:rsidRDefault="002609A1" w:rsidP="0089087B">
      <w:pPr>
        <w:pStyle w:val="ListParagraph"/>
        <w:numPr>
          <w:ilvl w:val="0"/>
          <w:numId w:val="8"/>
        </w:numPr>
        <w:rPr>
          <w:sz w:val="24"/>
          <w:szCs w:val="24"/>
        </w:rPr>
      </w:pP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75</m:t>
            </m:r>
          </m:sub>
        </m:sSub>
        <m:r>
          <w:rPr>
            <w:rFonts w:ascii="Cambria Math" w:hAnsi="Cambria Math"/>
            <w:sz w:val="24"/>
            <w:szCs w:val="24"/>
          </w:rPr>
          <m:t>(2013)/</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75</m:t>
            </m:r>
          </m:sub>
        </m:sSub>
        <m:r>
          <w:rPr>
            <w:rFonts w:ascii="Cambria Math" w:hAnsi="Cambria Math"/>
            <w:sz w:val="24"/>
            <w:szCs w:val="24"/>
          </w:rPr>
          <m:t>(2003)</m:t>
        </m:r>
      </m:oMath>
      <w:r w:rsidR="0089087B" w:rsidRPr="00D74C11">
        <w:rPr>
          <w:rFonts w:eastAsiaTheme="minorEastAsia"/>
          <w:sz w:val="24"/>
          <w:szCs w:val="24"/>
        </w:rPr>
        <w:t>=0.97 (0.59; 1.94) for RC2</w:t>
      </w:r>
    </w:p>
    <w:p w:rsidR="0089087B" w:rsidRPr="00D74C11" w:rsidRDefault="0089087B" w:rsidP="0089087B">
      <w:pPr>
        <w:pStyle w:val="ListParagraph"/>
        <w:numPr>
          <w:ilvl w:val="0"/>
          <w:numId w:val="8"/>
        </w:numPr>
        <w:rPr>
          <w:sz w:val="24"/>
          <w:szCs w:val="24"/>
        </w:rPr>
      </w:pPr>
      <w:r w:rsidRPr="00D74C11">
        <w:rPr>
          <w:sz w:val="24"/>
          <w:szCs w:val="24"/>
        </w:rPr>
        <w:t>10% inter-annual TAC change constraint</w:t>
      </w:r>
    </w:p>
    <w:p w:rsidR="0089087B" w:rsidRDefault="0089087B" w:rsidP="0089087B">
      <w:pPr>
        <w:rPr>
          <w:b/>
          <w:sz w:val="24"/>
          <w:szCs w:val="24"/>
        </w:rPr>
      </w:pPr>
    </w:p>
    <w:p w:rsidR="0089087B" w:rsidRDefault="0089087B" w:rsidP="0089087B">
      <w:pPr>
        <w:rPr>
          <w:b/>
          <w:sz w:val="24"/>
          <w:szCs w:val="24"/>
        </w:rPr>
      </w:pPr>
      <w:r>
        <w:rPr>
          <w:b/>
          <w:sz w:val="24"/>
          <w:szCs w:val="24"/>
        </w:rPr>
        <w:t>OMP 2007</w:t>
      </w:r>
    </w:p>
    <w:p w:rsidR="0089087B" w:rsidRPr="00D74C11" w:rsidRDefault="0089087B" w:rsidP="0089087B">
      <w:pPr>
        <w:pStyle w:val="ListParagraph"/>
        <w:numPr>
          <w:ilvl w:val="0"/>
          <w:numId w:val="9"/>
        </w:numPr>
        <w:rPr>
          <w:sz w:val="24"/>
          <w:szCs w:val="24"/>
        </w:rPr>
      </w:pPr>
      <w:r w:rsidRPr="00D74C11">
        <w:rPr>
          <w:sz w:val="24"/>
          <w:szCs w:val="24"/>
        </w:rPr>
        <w:t>Super-area disaggregated assessment (5 different super-areas)</w:t>
      </w:r>
      <w:r w:rsidR="000B17E0">
        <w:rPr>
          <w:sz w:val="24"/>
          <w:szCs w:val="24"/>
        </w:rPr>
        <w:t xml:space="preserve"> with the OMP based on disaggregating for these strata on a basis </w:t>
      </w:r>
      <w:r w:rsidR="00B01E58">
        <w:rPr>
          <w:sz w:val="24"/>
          <w:szCs w:val="24"/>
        </w:rPr>
        <w:t>of the international review</w:t>
      </w:r>
      <w:r w:rsidR="000B17E0">
        <w:rPr>
          <w:sz w:val="24"/>
          <w:szCs w:val="24"/>
        </w:rPr>
        <w:t xml:space="preserve"> panel recommendation which arose from different resource trends in the different super-areas.</w:t>
      </w:r>
    </w:p>
    <w:p w:rsidR="0089087B" w:rsidRPr="00D74C11" w:rsidRDefault="0089087B" w:rsidP="0089087B">
      <w:pPr>
        <w:pStyle w:val="ListParagraph"/>
        <w:numPr>
          <w:ilvl w:val="0"/>
          <w:numId w:val="9"/>
        </w:numPr>
        <w:rPr>
          <w:sz w:val="24"/>
          <w:szCs w:val="24"/>
        </w:rPr>
      </w:pPr>
      <w:r w:rsidRPr="00D74C11">
        <w:rPr>
          <w:sz w:val="24"/>
          <w:szCs w:val="24"/>
        </w:rPr>
        <w:lastRenderedPageBreak/>
        <w:t>Consider</w:t>
      </w:r>
      <w:r w:rsidR="00B01E58">
        <w:rPr>
          <w:sz w:val="24"/>
          <w:szCs w:val="24"/>
        </w:rPr>
        <w:t>ed</w:t>
      </w:r>
      <w:r w:rsidRPr="00D74C11">
        <w:rPr>
          <w:sz w:val="24"/>
          <w:szCs w:val="24"/>
        </w:rPr>
        <w:t xml:space="preserve"> </w:t>
      </w:r>
      <m:oMath>
        <m:sSubSup>
          <m:sSubSupPr>
            <m:ctrlPr>
              <w:rPr>
                <w:rFonts w:ascii="Cambria Math" w:hAnsi="Cambria Math"/>
                <w:i/>
                <w:sz w:val="24"/>
                <w:szCs w:val="24"/>
              </w:rPr>
            </m:ctrlPr>
          </m:sSubSupPr>
          <m:e>
            <m:r>
              <w:rPr>
                <w:rFonts w:ascii="Cambria Math" w:hAnsi="Cambria Math"/>
                <w:sz w:val="24"/>
                <w:szCs w:val="24"/>
              </w:rPr>
              <m:t>B</m:t>
            </m:r>
          </m:e>
          <m:sub>
            <m:r>
              <w:rPr>
                <w:rFonts w:ascii="Cambria Math" w:hAnsi="Cambria Math"/>
                <w:sz w:val="24"/>
                <w:szCs w:val="24"/>
              </w:rPr>
              <m:t>75</m:t>
            </m:r>
          </m:sub>
          <m:sup>
            <m:r>
              <w:rPr>
                <w:rFonts w:ascii="Cambria Math" w:hAnsi="Cambria Math"/>
                <w:sz w:val="24"/>
                <w:szCs w:val="24"/>
              </w:rPr>
              <m:t>m</m:t>
            </m:r>
          </m:sup>
        </m:sSubSup>
      </m:oMath>
      <w:r w:rsidRPr="00D74C11">
        <w:rPr>
          <w:rFonts w:eastAsiaTheme="minorEastAsia"/>
          <w:sz w:val="24"/>
          <w:szCs w:val="24"/>
        </w:rPr>
        <w:t xml:space="preserve"> (i.e. </w:t>
      </w:r>
      <w:r w:rsidRPr="00B01E58">
        <w:rPr>
          <w:rFonts w:eastAsiaTheme="minorEastAsia"/>
          <w:i/>
          <w:sz w:val="24"/>
          <w:szCs w:val="24"/>
        </w:rPr>
        <w:t>male</w:t>
      </w:r>
      <w:r w:rsidRPr="00D74C11">
        <w:rPr>
          <w:rFonts w:eastAsiaTheme="minorEastAsia"/>
          <w:sz w:val="24"/>
          <w:szCs w:val="24"/>
        </w:rPr>
        <w:t xml:space="preserve"> component of resource only</w:t>
      </w:r>
      <w:r w:rsidR="006F6B98">
        <w:rPr>
          <w:rFonts w:eastAsiaTheme="minorEastAsia"/>
          <w:sz w:val="24"/>
          <w:szCs w:val="24"/>
        </w:rPr>
        <w:t xml:space="preserve"> rather than both sexes because</w:t>
      </w:r>
      <w:r w:rsidR="000B17E0">
        <w:rPr>
          <w:rFonts w:eastAsiaTheme="minorEastAsia"/>
          <w:sz w:val="24"/>
          <w:szCs w:val="24"/>
        </w:rPr>
        <w:t xml:space="preserve"> the male component dominates the catch</w:t>
      </w:r>
      <w:r w:rsidR="00B01E58">
        <w:rPr>
          <w:rFonts w:eastAsiaTheme="minorEastAsia"/>
          <w:sz w:val="24"/>
          <w:szCs w:val="24"/>
        </w:rPr>
        <w:t xml:space="preserve"> and the larger sized lobsters in the population because males grow faster</w:t>
      </w:r>
      <w:r w:rsidR="000B17E0">
        <w:rPr>
          <w:rFonts w:eastAsiaTheme="minorEastAsia"/>
          <w:sz w:val="24"/>
          <w:szCs w:val="24"/>
        </w:rPr>
        <w:t>, and population dynamics parameters are not as well estimated for the female component for which numerous assumptions are needed in the absence of data</w:t>
      </w:r>
      <w:r w:rsidRPr="00D74C11">
        <w:rPr>
          <w:rFonts w:eastAsiaTheme="minorEastAsia"/>
          <w:sz w:val="24"/>
          <w:szCs w:val="24"/>
        </w:rPr>
        <w:t>)</w:t>
      </w:r>
      <w:r w:rsidR="00B01E58">
        <w:rPr>
          <w:rFonts w:eastAsiaTheme="minorEastAsia"/>
          <w:sz w:val="24"/>
          <w:szCs w:val="24"/>
        </w:rPr>
        <w:t>.</w:t>
      </w:r>
    </w:p>
    <w:p w:rsidR="00301E3F" w:rsidRPr="00D74C11" w:rsidRDefault="000B17E0" w:rsidP="00301E3F">
      <w:pPr>
        <w:pStyle w:val="ListParagraph"/>
        <w:numPr>
          <w:ilvl w:val="0"/>
          <w:numId w:val="9"/>
        </w:numPr>
        <w:rPr>
          <w:sz w:val="24"/>
          <w:szCs w:val="24"/>
        </w:rPr>
      </w:pPr>
      <w:r>
        <w:rPr>
          <w:rFonts w:eastAsiaTheme="minorEastAsia"/>
          <w:sz w:val="24"/>
          <w:szCs w:val="24"/>
        </w:rPr>
        <w:t>Super-area c</w:t>
      </w:r>
      <w:r w:rsidR="00301E3F" w:rsidRPr="00D74C11">
        <w:rPr>
          <w:rFonts w:eastAsiaTheme="minorEastAsia"/>
          <w:sz w:val="24"/>
          <w:szCs w:val="24"/>
        </w:rPr>
        <w:t xml:space="preserve">ombined </w:t>
      </w:r>
      <m:oMath>
        <m:sSubSup>
          <m:sSubSupPr>
            <m:ctrlPr>
              <w:rPr>
                <w:rFonts w:ascii="Cambria Math" w:hAnsi="Cambria Math"/>
                <w:i/>
                <w:sz w:val="24"/>
                <w:szCs w:val="24"/>
              </w:rPr>
            </m:ctrlPr>
          </m:sSubSupPr>
          <m:e>
            <m:r>
              <w:rPr>
                <w:rFonts w:ascii="Cambria Math" w:hAnsi="Cambria Math"/>
                <w:sz w:val="24"/>
                <w:szCs w:val="24"/>
              </w:rPr>
              <m:t>B</m:t>
            </m:r>
          </m:e>
          <m:sub>
            <m:r>
              <w:rPr>
                <w:rFonts w:ascii="Cambria Math" w:hAnsi="Cambria Math"/>
                <w:sz w:val="24"/>
                <w:szCs w:val="24"/>
              </w:rPr>
              <m:t>75</m:t>
            </m:r>
          </m:sub>
          <m:sup>
            <m:r>
              <w:rPr>
                <w:rFonts w:ascii="Cambria Math" w:hAnsi="Cambria Math"/>
                <w:sz w:val="24"/>
                <w:szCs w:val="24"/>
              </w:rPr>
              <m:t>m</m:t>
            </m:r>
          </m:sup>
        </m:sSubSup>
      </m:oMath>
      <w:r w:rsidR="00301E3F" w:rsidRPr="00D74C11">
        <w:rPr>
          <w:rFonts w:eastAsiaTheme="minorEastAsia"/>
          <w:sz w:val="24"/>
          <w:szCs w:val="24"/>
        </w:rPr>
        <w:t>(2006/1996)=0.90</w:t>
      </w:r>
      <w:r>
        <w:rPr>
          <w:rFonts w:eastAsiaTheme="minorEastAsia"/>
          <w:sz w:val="24"/>
          <w:szCs w:val="24"/>
        </w:rPr>
        <w:t xml:space="preserve"> compared to 1997 target of 1.20 and 2000 target of 1.14</w:t>
      </w:r>
      <w:r w:rsidR="00EC7FA8">
        <w:rPr>
          <w:rFonts w:eastAsiaTheme="minorEastAsia"/>
          <w:sz w:val="24"/>
          <w:szCs w:val="24"/>
        </w:rPr>
        <w:t>. Note that this assessment was much more pessimistic than that on which OMP 2003 had been based. This was a consequence of a period of poor recruitment over the turn of the century which only became apparent after 2003 through substantial drops in CPUE indices of abundance.</w:t>
      </w:r>
    </w:p>
    <w:p w:rsidR="00301E3F" w:rsidRPr="00D74C11" w:rsidRDefault="000B17E0" w:rsidP="00301E3F">
      <w:pPr>
        <w:pStyle w:val="ListParagraph"/>
        <w:numPr>
          <w:ilvl w:val="0"/>
          <w:numId w:val="9"/>
        </w:numPr>
        <w:rPr>
          <w:sz w:val="24"/>
          <w:szCs w:val="24"/>
        </w:rPr>
      </w:pPr>
      <w:r>
        <w:rPr>
          <w:rFonts w:eastAsiaTheme="minorEastAsia"/>
          <w:sz w:val="24"/>
          <w:szCs w:val="24"/>
        </w:rPr>
        <w:t>Super-area c</w:t>
      </w:r>
      <w:r w:rsidR="00301E3F" w:rsidRPr="00D74C11">
        <w:rPr>
          <w:rFonts w:eastAsiaTheme="minorEastAsia"/>
          <w:sz w:val="24"/>
          <w:szCs w:val="24"/>
        </w:rPr>
        <w:t xml:space="preserve">ombined </w:t>
      </w:r>
      <m:oMath>
        <m:sSubSup>
          <m:sSubSupPr>
            <m:ctrlPr>
              <w:rPr>
                <w:rFonts w:ascii="Cambria Math" w:hAnsi="Cambria Math"/>
                <w:i/>
                <w:sz w:val="24"/>
                <w:szCs w:val="24"/>
              </w:rPr>
            </m:ctrlPr>
          </m:sSubSupPr>
          <m:e>
            <m:r>
              <w:rPr>
                <w:rFonts w:ascii="Cambria Math" w:hAnsi="Cambria Math"/>
                <w:sz w:val="24"/>
                <w:szCs w:val="24"/>
              </w:rPr>
              <m:t>B</m:t>
            </m:r>
          </m:e>
          <m:sub>
            <m:r>
              <w:rPr>
                <w:rFonts w:ascii="Cambria Math" w:hAnsi="Cambria Math"/>
                <w:sz w:val="24"/>
                <w:szCs w:val="24"/>
              </w:rPr>
              <m:t>75</m:t>
            </m:r>
          </m:sub>
          <m:sup>
            <m:r>
              <w:rPr>
                <w:rFonts w:ascii="Cambria Math" w:hAnsi="Cambria Math"/>
                <w:sz w:val="24"/>
                <w:szCs w:val="24"/>
              </w:rPr>
              <m:t>m</m:t>
            </m:r>
          </m:sup>
        </m:sSubSup>
      </m:oMath>
      <w:r w:rsidR="00301E3F" w:rsidRPr="00D74C11">
        <w:rPr>
          <w:rFonts w:eastAsiaTheme="minorEastAsia"/>
          <w:sz w:val="24"/>
          <w:szCs w:val="24"/>
        </w:rPr>
        <w:t>(2006)/K=0.03</w:t>
      </w:r>
    </w:p>
    <w:p w:rsidR="0089087B" w:rsidRPr="00D74C11" w:rsidRDefault="0089087B" w:rsidP="0089087B">
      <w:pPr>
        <w:pStyle w:val="ListParagraph"/>
        <w:numPr>
          <w:ilvl w:val="0"/>
          <w:numId w:val="9"/>
        </w:numPr>
        <w:rPr>
          <w:sz w:val="24"/>
          <w:szCs w:val="24"/>
        </w:rPr>
      </w:pPr>
      <w:r w:rsidRPr="00D74C11">
        <w:rPr>
          <w:sz w:val="24"/>
          <w:szCs w:val="24"/>
        </w:rPr>
        <w:t xml:space="preserve">Management target: to re-build </w:t>
      </w:r>
      <m:oMath>
        <m:sSubSup>
          <m:sSubSupPr>
            <m:ctrlPr>
              <w:rPr>
                <w:rFonts w:ascii="Cambria Math" w:hAnsi="Cambria Math"/>
                <w:i/>
                <w:sz w:val="24"/>
                <w:szCs w:val="24"/>
              </w:rPr>
            </m:ctrlPr>
          </m:sSubSupPr>
          <m:e>
            <m:r>
              <w:rPr>
                <w:rFonts w:ascii="Cambria Math" w:hAnsi="Cambria Math"/>
                <w:sz w:val="24"/>
                <w:szCs w:val="24"/>
              </w:rPr>
              <m:t>B</m:t>
            </m:r>
          </m:e>
          <m:sub>
            <m:r>
              <w:rPr>
                <w:rFonts w:ascii="Cambria Math" w:hAnsi="Cambria Math"/>
                <w:sz w:val="24"/>
                <w:szCs w:val="24"/>
              </w:rPr>
              <m:t>75</m:t>
            </m:r>
          </m:sub>
          <m:sup>
            <m:r>
              <w:rPr>
                <w:rFonts w:ascii="Cambria Math" w:hAnsi="Cambria Math"/>
                <w:sz w:val="24"/>
                <w:szCs w:val="24"/>
              </w:rPr>
              <m:t>m</m:t>
            </m:r>
          </m:sup>
        </m:sSubSup>
      </m:oMath>
      <w:r w:rsidRPr="00D74C11">
        <w:rPr>
          <w:rFonts w:eastAsiaTheme="minorEastAsia"/>
          <w:sz w:val="24"/>
          <w:szCs w:val="24"/>
        </w:rPr>
        <w:t xml:space="preserve"> by 20% over next 10 years</w:t>
      </w:r>
      <w:r w:rsidR="000B17E0">
        <w:rPr>
          <w:rFonts w:eastAsiaTheme="minorEastAsia"/>
          <w:sz w:val="24"/>
          <w:szCs w:val="24"/>
        </w:rPr>
        <w:t>, i.e. essentially to return this</w:t>
      </w:r>
      <w:r w:rsidR="00EC7FA8">
        <w:rPr>
          <w:rFonts w:eastAsiaTheme="minorEastAsia"/>
          <w:sz w:val="24"/>
          <w:szCs w:val="24"/>
        </w:rPr>
        <w:t xml:space="preserve"> component of the resource</w:t>
      </w:r>
      <w:r w:rsidR="000B17E0">
        <w:rPr>
          <w:rFonts w:eastAsiaTheme="minorEastAsia"/>
          <w:sz w:val="24"/>
          <w:szCs w:val="24"/>
        </w:rPr>
        <w:t xml:space="preserve"> to its</w:t>
      </w:r>
      <w:r w:rsidRPr="00D74C11">
        <w:rPr>
          <w:rFonts w:eastAsiaTheme="minorEastAsia"/>
          <w:sz w:val="24"/>
          <w:szCs w:val="24"/>
        </w:rPr>
        <w:t xml:space="preserve"> </w:t>
      </w:r>
      <w:r w:rsidR="001336A5">
        <w:rPr>
          <w:rFonts w:eastAsiaTheme="minorEastAsia"/>
          <w:sz w:val="24"/>
          <w:szCs w:val="24"/>
        </w:rPr>
        <w:t>1996 level by 2016</w:t>
      </w:r>
    </w:p>
    <w:p w:rsidR="0089087B" w:rsidRPr="00D74C11" w:rsidRDefault="0089087B" w:rsidP="0089087B">
      <w:pPr>
        <w:pStyle w:val="ListParagraph"/>
        <w:numPr>
          <w:ilvl w:val="0"/>
          <w:numId w:val="9"/>
        </w:numPr>
        <w:rPr>
          <w:sz w:val="24"/>
          <w:szCs w:val="24"/>
        </w:rPr>
      </w:pPr>
      <w:r w:rsidRPr="00D74C11">
        <w:rPr>
          <w:sz w:val="24"/>
          <w:szCs w:val="24"/>
        </w:rPr>
        <w:t>Final OMP</w:t>
      </w:r>
      <w:r w:rsidR="006F6B98">
        <w:rPr>
          <w:sz w:val="24"/>
          <w:szCs w:val="24"/>
        </w:rPr>
        <w:t xml:space="preserve"> recommended by the Scientific Wo</w:t>
      </w:r>
      <w:r w:rsidR="00EC7FA8">
        <w:rPr>
          <w:sz w:val="24"/>
          <w:szCs w:val="24"/>
        </w:rPr>
        <w:t>rking group and adopted by the M</w:t>
      </w:r>
      <w:r w:rsidR="006F6B98">
        <w:rPr>
          <w:sz w:val="24"/>
          <w:szCs w:val="24"/>
        </w:rPr>
        <w:t>inister:</w:t>
      </w:r>
    </w:p>
    <w:p w:rsidR="0089087B" w:rsidRPr="00D74C11" w:rsidRDefault="0089087B" w:rsidP="00301E3F">
      <w:pPr>
        <w:pStyle w:val="ListParagraph"/>
        <w:numPr>
          <w:ilvl w:val="0"/>
          <w:numId w:val="11"/>
        </w:numPr>
        <w:rPr>
          <w:sz w:val="24"/>
          <w:szCs w:val="24"/>
        </w:rPr>
      </w:pPr>
      <w:r w:rsidRPr="00D74C11">
        <w:rPr>
          <w:sz w:val="24"/>
          <w:szCs w:val="24"/>
        </w:rPr>
        <w:t xml:space="preserve">combined over all five areas, </w:t>
      </w:r>
      <m:oMath>
        <m:sSubSup>
          <m:sSubSupPr>
            <m:ctrlPr>
              <w:rPr>
                <w:rFonts w:ascii="Cambria Math" w:hAnsi="Cambria Math"/>
                <w:i/>
                <w:sz w:val="24"/>
                <w:szCs w:val="24"/>
              </w:rPr>
            </m:ctrlPr>
          </m:sSubSupPr>
          <m:e>
            <m:r>
              <w:rPr>
                <w:rFonts w:ascii="Cambria Math" w:hAnsi="Cambria Math"/>
                <w:sz w:val="24"/>
                <w:szCs w:val="24"/>
              </w:rPr>
              <m:t>B</m:t>
            </m:r>
          </m:e>
          <m:sub>
            <m:r>
              <w:rPr>
                <w:rFonts w:ascii="Cambria Math" w:hAnsi="Cambria Math"/>
                <w:sz w:val="24"/>
                <w:szCs w:val="24"/>
              </w:rPr>
              <m:t>75</m:t>
            </m:r>
          </m:sub>
          <m:sup>
            <m:r>
              <w:rPr>
                <w:rFonts w:ascii="Cambria Math" w:hAnsi="Cambria Math"/>
                <w:sz w:val="24"/>
                <w:szCs w:val="24"/>
              </w:rPr>
              <m:t>m</m:t>
            </m:r>
          </m:sup>
        </m:sSubSup>
      </m:oMath>
      <w:r w:rsidRPr="00D74C11">
        <w:rPr>
          <w:rFonts w:eastAsiaTheme="minorEastAsia"/>
          <w:sz w:val="24"/>
          <w:szCs w:val="24"/>
        </w:rPr>
        <w:t>(2016/2006)=1.206</w:t>
      </w:r>
    </w:p>
    <w:p w:rsidR="00301E3F" w:rsidRPr="00D74C11" w:rsidRDefault="00301E3F" w:rsidP="00301E3F">
      <w:pPr>
        <w:pStyle w:val="ListParagraph"/>
        <w:numPr>
          <w:ilvl w:val="0"/>
          <w:numId w:val="11"/>
        </w:numPr>
        <w:rPr>
          <w:sz w:val="24"/>
          <w:szCs w:val="24"/>
        </w:rPr>
      </w:pPr>
      <w:r w:rsidRPr="00D74C11">
        <w:rPr>
          <w:sz w:val="24"/>
          <w:szCs w:val="24"/>
        </w:rPr>
        <w:t>10% inter annual TAC constraint f</w:t>
      </w:r>
      <w:r w:rsidR="001336A5">
        <w:rPr>
          <w:sz w:val="24"/>
          <w:szCs w:val="24"/>
        </w:rPr>
        <w:t xml:space="preserve">or 2007 and 2008, then for 2009+ </w:t>
      </w:r>
      <w:r w:rsidRPr="00D74C11">
        <w:rPr>
          <w:sz w:val="24"/>
          <w:szCs w:val="24"/>
        </w:rPr>
        <w:t>the downward constraint could vary between 10%-20% depending on somatic growth</w:t>
      </w:r>
      <w:r w:rsidR="00EC7FA8">
        <w:rPr>
          <w:sz w:val="24"/>
          <w:szCs w:val="24"/>
        </w:rPr>
        <w:t>.</w:t>
      </w:r>
    </w:p>
    <w:p w:rsidR="00A84344" w:rsidRDefault="00A84344" w:rsidP="00A84344">
      <w:pPr>
        <w:rPr>
          <w:sz w:val="24"/>
          <w:szCs w:val="24"/>
        </w:rPr>
      </w:pPr>
    </w:p>
    <w:p w:rsidR="00A84344" w:rsidRPr="00A626AD" w:rsidRDefault="00EC7FA8" w:rsidP="00A626AD">
      <w:pPr>
        <w:pStyle w:val="ListParagraph"/>
        <w:numPr>
          <w:ilvl w:val="0"/>
          <w:numId w:val="12"/>
        </w:numPr>
        <w:rPr>
          <w:b/>
          <w:sz w:val="28"/>
          <w:szCs w:val="28"/>
        </w:rPr>
      </w:pPr>
      <w:r>
        <w:rPr>
          <w:b/>
          <w:sz w:val="28"/>
          <w:szCs w:val="28"/>
        </w:rPr>
        <w:t>Comparison of past Operating M</w:t>
      </w:r>
      <w:r w:rsidR="00A84344" w:rsidRPr="00A626AD">
        <w:rPr>
          <w:b/>
          <w:sz w:val="28"/>
          <w:szCs w:val="28"/>
        </w:rPr>
        <w:t>odel biomass estimates</w:t>
      </w:r>
    </w:p>
    <w:p w:rsidR="00A626AD" w:rsidRDefault="00A626AD" w:rsidP="00A84344">
      <w:pPr>
        <w:rPr>
          <w:sz w:val="24"/>
          <w:szCs w:val="24"/>
        </w:rPr>
      </w:pPr>
      <w:r>
        <w:rPr>
          <w:sz w:val="24"/>
          <w:szCs w:val="24"/>
        </w:rPr>
        <w:t>In or</w:t>
      </w:r>
      <w:r w:rsidR="00EC7FA8">
        <w:rPr>
          <w:sz w:val="24"/>
          <w:szCs w:val="24"/>
        </w:rPr>
        <w:t>der to simulation test alternative</w:t>
      </w:r>
      <w:r>
        <w:rPr>
          <w:sz w:val="24"/>
          <w:szCs w:val="24"/>
        </w:rPr>
        <w:t xml:space="preserve"> OMPs, an unde</w:t>
      </w:r>
      <w:r w:rsidR="00EC7FA8">
        <w:rPr>
          <w:sz w:val="24"/>
          <w:szCs w:val="24"/>
        </w:rPr>
        <w:t>rlying “Operating Model” (OM) of</w:t>
      </w:r>
      <w:r>
        <w:rPr>
          <w:sz w:val="24"/>
          <w:szCs w:val="24"/>
        </w:rPr>
        <w:t xml:space="preserve"> the res</w:t>
      </w:r>
      <w:r w:rsidR="00EC7FA8">
        <w:rPr>
          <w:sz w:val="24"/>
          <w:szCs w:val="24"/>
        </w:rPr>
        <w:t>ource is developed. This OM reflects</w:t>
      </w:r>
      <w:r>
        <w:rPr>
          <w:sz w:val="24"/>
          <w:szCs w:val="24"/>
        </w:rPr>
        <w:t xml:space="preserve"> the underlying population dynamics and associated fishery</w:t>
      </w:r>
      <w:r w:rsidR="003B022A">
        <w:rPr>
          <w:sz w:val="24"/>
          <w:szCs w:val="24"/>
        </w:rPr>
        <w:t xml:space="preserve"> and is developed by fitting the OM to all the available data from the resource and fishery.</w:t>
      </w:r>
    </w:p>
    <w:p w:rsidR="003B022A" w:rsidRDefault="003B022A" w:rsidP="00A84344">
      <w:pPr>
        <w:rPr>
          <w:sz w:val="24"/>
          <w:szCs w:val="24"/>
        </w:rPr>
      </w:pPr>
    </w:p>
    <w:p w:rsidR="00301E3F" w:rsidRDefault="00A84344" w:rsidP="00A84344">
      <w:pPr>
        <w:rPr>
          <w:rFonts w:eastAsiaTheme="minorEastAsia"/>
          <w:sz w:val="24"/>
          <w:szCs w:val="24"/>
        </w:rPr>
      </w:pPr>
      <w:r w:rsidRPr="00A84344">
        <w:rPr>
          <w:sz w:val="24"/>
          <w:szCs w:val="24"/>
        </w:rPr>
        <w:t>Figures 1a and b show the</w:t>
      </w:r>
      <w:r>
        <w:rPr>
          <w:sz w:val="24"/>
          <w:szCs w:val="24"/>
        </w:rPr>
        <w:t xml:space="preserve"> estimated </w:t>
      </w:r>
      <w:r>
        <w:rPr>
          <w:rFonts w:eastAsiaTheme="minorEastAsia"/>
          <w:sz w:val="24"/>
          <w:szCs w:val="24"/>
        </w:rPr>
        <w:t>area-aggregated trends of resource size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75</m:t>
            </m:r>
          </m:sub>
        </m:sSub>
      </m:oMath>
      <w:r>
        <w:rPr>
          <w:rFonts w:eastAsiaTheme="minorEastAsia"/>
          <w:sz w:val="24"/>
          <w:szCs w:val="24"/>
        </w:rPr>
        <w:t xml:space="preserve"> ) for the four </w:t>
      </w:r>
      <w:r w:rsidR="001336A5">
        <w:rPr>
          <w:rFonts w:eastAsiaTheme="minorEastAsia"/>
          <w:sz w:val="24"/>
          <w:szCs w:val="24"/>
        </w:rPr>
        <w:t xml:space="preserve">base case </w:t>
      </w:r>
      <w:r>
        <w:rPr>
          <w:rFonts w:eastAsiaTheme="minorEastAsia"/>
          <w:sz w:val="24"/>
          <w:szCs w:val="24"/>
        </w:rPr>
        <w:t>different Operating Models that have been developed over time</w:t>
      </w:r>
      <w:r w:rsidR="003B022A">
        <w:rPr>
          <w:rFonts w:eastAsiaTheme="minorEastAsia"/>
          <w:sz w:val="24"/>
          <w:szCs w:val="24"/>
        </w:rPr>
        <w:t>, and used for simulation-testing of the various OMPs</w:t>
      </w:r>
      <w:r>
        <w:rPr>
          <w:rFonts w:eastAsiaTheme="minorEastAsia"/>
          <w:sz w:val="24"/>
          <w:szCs w:val="24"/>
        </w:rPr>
        <w:t>. Figure 1a shows absolute biomass and Figure 1b shows biomass relative to pristine. Note the 2006 assessment biomass refers to the male onl</w:t>
      </w:r>
      <w:r w:rsidR="00EC7FA8">
        <w:rPr>
          <w:rFonts w:eastAsiaTheme="minorEastAsia"/>
          <w:sz w:val="24"/>
          <w:szCs w:val="24"/>
        </w:rPr>
        <w:t>y portion of the stock, but this does not really confound comparison as</w:t>
      </w:r>
      <w:r>
        <w:rPr>
          <w:rFonts w:eastAsiaTheme="minorEastAsia"/>
          <w:sz w:val="24"/>
          <w:szCs w:val="24"/>
        </w:rPr>
        <w:t xml:space="preserve"> the fem</w:t>
      </w:r>
      <w:r w:rsidR="006F2656">
        <w:rPr>
          <w:rFonts w:eastAsiaTheme="minorEastAsia"/>
          <w:sz w:val="24"/>
          <w:szCs w:val="24"/>
        </w:rPr>
        <w:t>ale portion is relatively small – see Figure 1c.</w:t>
      </w:r>
    </w:p>
    <w:p w:rsidR="00A84344" w:rsidRDefault="00A84344" w:rsidP="00A84344">
      <w:pPr>
        <w:rPr>
          <w:rFonts w:eastAsiaTheme="minorEastAsia"/>
          <w:sz w:val="24"/>
          <w:szCs w:val="24"/>
        </w:rPr>
      </w:pPr>
    </w:p>
    <w:p w:rsidR="00A84344" w:rsidRPr="00A626AD" w:rsidRDefault="00A84344" w:rsidP="00A626AD">
      <w:pPr>
        <w:pStyle w:val="ListParagraph"/>
        <w:numPr>
          <w:ilvl w:val="0"/>
          <w:numId w:val="12"/>
        </w:numPr>
        <w:rPr>
          <w:rFonts w:eastAsiaTheme="minorEastAsia"/>
          <w:b/>
          <w:sz w:val="28"/>
          <w:szCs w:val="28"/>
        </w:rPr>
      </w:pPr>
      <w:r w:rsidRPr="00A626AD">
        <w:rPr>
          <w:rFonts w:eastAsiaTheme="minorEastAsia"/>
          <w:b/>
          <w:sz w:val="28"/>
          <w:szCs w:val="28"/>
        </w:rPr>
        <w:lastRenderedPageBreak/>
        <w:t xml:space="preserve">Retrospective look at </w:t>
      </w:r>
      <w:r w:rsidR="00D74C11" w:rsidRPr="00A626AD">
        <w:rPr>
          <w:rFonts w:eastAsiaTheme="minorEastAsia"/>
          <w:b/>
          <w:sz w:val="28"/>
          <w:szCs w:val="28"/>
        </w:rPr>
        <w:t>intended recovery targets, and actual recovery targets</w:t>
      </w:r>
    </w:p>
    <w:p w:rsidR="00A626AD" w:rsidRDefault="001336A5" w:rsidP="00A84344">
      <w:pPr>
        <w:rPr>
          <w:sz w:val="24"/>
          <w:szCs w:val="24"/>
        </w:rPr>
      </w:pPr>
      <w:r>
        <w:rPr>
          <w:sz w:val="24"/>
          <w:szCs w:val="24"/>
        </w:rPr>
        <w:t>It is of interest to examine the 2007 OMP predicted trajectories for both TAC and</w:t>
      </w:r>
      <w:r w:rsidR="00EC7FA8">
        <w:rPr>
          <w:sz w:val="24"/>
          <w:szCs w:val="24"/>
        </w:rPr>
        <w:t xml:space="preserve"> </w:t>
      </w:r>
      <m:oMath>
        <m:sSubSup>
          <m:sSubSupPr>
            <m:ctrlPr>
              <w:rPr>
                <w:rFonts w:ascii="Cambria Math" w:hAnsi="Cambria Math"/>
                <w:i/>
                <w:sz w:val="24"/>
                <w:szCs w:val="24"/>
              </w:rPr>
            </m:ctrlPr>
          </m:sSubSupPr>
          <m:e>
            <m:r>
              <w:rPr>
                <w:rFonts w:ascii="Cambria Math" w:hAnsi="Cambria Math"/>
                <w:sz w:val="24"/>
                <w:szCs w:val="24"/>
              </w:rPr>
              <m:t>B</m:t>
            </m:r>
          </m:e>
          <m:sub>
            <m:r>
              <w:rPr>
                <w:rFonts w:ascii="Cambria Math" w:hAnsi="Cambria Math"/>
                <w:sz w:val="24"/>
                <w:szCs w:val="24"/>
              </w:rPr>
              <m:t>75</m:t>
            </m:r>
          </m:sub>
          <m:sup>
            <m:r>
              <w:rPr>
                <w:rFonts w:ascii="Cambria Math" w:hAnsi="Cambria Math"/>
                <w:sz w:val="24"/>
                <w:szCs w:val="24"/>
              </w:rPr>
              <m:t>m</m:t>
            </m:r>
          </m:sup>
        </m:sSubSup>
      </m:oMath>
      <w:r>
        <w:rPr>
          <w:sz w:val="24"/>
          <w:szCs w:val="24"/>
        </w:rPr>
        <w:t xml:space="preserve"> and the actual subsequent TAC values, and the newly updated 2010 upda</w:t>
      </w:r>
      <w:r w:rsidR="00EC7FA8">
        <w:rPr>
          <w:sz w:val="24"/>
          <w:szCs w:val="24"/>
        </w:rPr>
        <w:t xml:space="preserve">ted assessment values for </w:t>
      </w:r>
      <m:oMath>
        <m:sSubSup>
          <m:sSubSupPr>
            <m:ctrlPr>
              <w:rPr>
                <w:rFonts w:ascii="Cambria Math" w:hAnsi="Cambria Math"/>
                <w:i/>
                <w:sz w:val="24"/>
                <w:szCs w:val="24"/>
              </w:rPr>
            </m:ctrlPr>
          </m:sSubSupPr>
          <m:e>
            <m:r>
              <w:rPr>
                <w:rFonts w:ascii="Cambria Math" w:hAnsi="Cambria Math"/>
                <w:sz w:val="24"/>
                <w:szCs w:val="24"/>
              </w:rPr>
              <m:t>B</m:t>
            </m:r>
          </m:e>
          <m:sub>
            <m:r>
              <w:rPr>
                <w:rFonts w:ascii="Cambria Math" w:hAnsi="Cambria Math"/>
                <w:sz w:val="24"/>
                <w:szCs w:val="24"/>
              </w:rPr>
              <m:t>75</m:t>
            </m:r>
          </m:sub>
          <m:sup>
            <m:r>
              <w:rPr>
                <w:rFonts w:ascii="Cambria Math" w:hAnsi="Cambria Math"/>
                <w:sz w:val="24"/>
                <w:szCs w:val="24"/>
              </w:rPr>
              <m:t>m</m:t>
            </m:r>
          </m:sup>
        </m:sSubSup>
      </m:oMath>
      <w:r w:rsidR="00B906A4">
        <w:rPr>
          <w:rFonts w:eastAsiaTheme="minorEastAsia"/>
          <w:sz w:val="24"/>
          <w:szCs w:val="24"/>
        </w:rPr>
        <w:t xml:space="preserve"> (these results are for the “original variant” of this assessment, which models selectivity as for the 2006 assessment that underlay OMP 2007)</w:t>
      </w:r>
      <w:r>
        <w:rPr>
          <w:sz w:val="24"/>
          <w:szCs w:val="24"/>
        </w:rPr>
        <w:t xml:space="preserve">. </w:t>
      </w:r>
      <w:r w:rsidR="00412D41" w:rsidRPr="00412D41">
        <w:rPr>
          <w:sz w:val="24"/>
          <w:szCs w:val="24"/>
        </w:rPr>
        <w:t xml:space="preserve">Figure 2a </w:t>
      </w:r>
      <w:r>
        <w:rPr>
          <w:sz w:val="24"/>
          <w:szCs w:val="24"/>
        </w:rPr>
        <w:t xml:space="preserve">reports these values for TAC, </w:t>
      </w:r>
      <w:r w:rsidR="00412D41" w:rsidRPr="00412D41">
        <w:rPr>
          <w:sz w:val="24"/>
          <w:szCs w:val="24"/>
        </w:rPr>
        <w:t xml:space="preserve">and </w:t>
      </w:r>
      <w:r>
        <w:rPr>
          <w:sz w:val="24"/>
          <w:szCs w:val="24"/>
        </w:rPr>
        <w:t xml:space="preserve">Figure </w:t>
      </w:r>
      <w:r w:rsidR="00412D41" w:rsidRPr="00412D41">
        <w:rPr>
          <w:sz w:val="24"/>
          <w:szCs w:val="24"/>
        </w:rPr>
        <w:t>2b</w:t>
      </w:r>
      <w:r w:rsidR="00B906A4">
        <w:rPr>
          <w:sz w:val="24"/>
          <w:szCs w:val="24"/>
        </w:rPr>
        <w:t xml:space="preserve"> reports the </w:t>
      </w:r>
      <m:oMath>
        <m:sSubSup>
          <m:sSubSupPr>
            <m:ctrlPr>
              <w:rPr>
                <w:rFonts w:ascii="Cambria Math" w:hAnsi="Cambria Math"/>
                <w:i/>
                <w:sz w:val="24"/>
                <w:szCs w:val="24"/>
              </w:rPr>
            </m:ctrlPr>
          </m:sSubSupPr>
          <m:e>
            <m:r>
              <w:rPr>
                <w:rFonts w:ascii="Cambria Math" w:hAnsi="Cambria Math"/>
                <w:sz w:val="24"/>
                <w:szCs w:val="24"/>
              </w:rPr>
              <m:t>B</m:t>
            </m:r>
          </m:e>
          <m:sub>
            <m:r>
              <w:rPr>
                <w:rFonts w:ascii="Cambria Math" w:hAnsi="Cambria Math"/>
                <w:sz w:val="24"/>
                <w:szCs w:val="24"/>
              </w:rPr>
              <m:t>75</m:t>
            </m:r>
          </m:sub>
          <m:sup>
            <m:r>
              <w:rPr>
                <w:rFonts w:ascii="Cambria Math" w:hAnsi="Cambria Math"/>
                <w:sz w:val="24"/>
                <w:szCs w:val="24"/>
              </w:rPr>
              <m:t>m</m:t>
            </m:r>
          </m:sup>
        </m:sSubSup>
      </m:oMath>
      <w:r>
        <w:rPr>
          <w:sz w:val="24"/>
          <w:szCs w:val="24"/>
        </w:rPr>
        <w:t xml:space="preserve"> trajectories</w:t>
      </w:r>
      <w:r w:rsidR="00412D41">
        <w:rPr>
          <w:sz w:val="24"/>
          <w:szCs w:val="24"/>
        </w:rPr>
        <w:t>.</w:t>
      </w:r>
    </w:p>
    <w:p w:rsidR="00B96455" w:rsidRDefault="00B96455" w:rsidP="00A84344">
      <w:pPr>
        <w:rPr>
          <w:sz w:val="24"/>
          <w:szCs w:val="24"/>
        </w:rPr>
      </w:pPr>
    </w:p>
    <w:p w:rsidR="00A1495E" w:rsidRPr="00A1495E" w:rsidRDefault="00A1495E" w:rsidP="00A84344">
      <w:pPr>
        <w:rPr>
          <w:b/>
          <w:sz w:val="24"/>
          <w:szCs w:val="24"/>
        </w:rPr>
      </w:pPr>
      <w:r w:rsidRPr="00A1495E">
        <w:rPr>
          <w:b/>
          <w:sz w:val="24"/>
          <w:szCs w:val="24"/>
        </w:rPr>
        <w:t>Somatic Growth rate</w:t>
      </w:r>
    </w:p>
    <w:p w:rsidR="00A1495E" w:rsidRDefault="00A1495E" w:rsidP="00A84344">
      <w:pPr>
        <w:rPr>
          <w:sz w:val="24"/>
          <w:szCs w:val="24"/>
        </w:rPr>
      </w:pPr>
      <w:r>
        <w:rPr>
          <w:sz w:val="24"/>
          <w:szCs w:val="24"/>
        </w:rPr>
        <w:t>The most recent somatic growth rate estimates for 70mm male lobsters (OL</w:t>
      </w:r>
      <w:r w:rsidR="00095F70">
        <w:rPr>
          <w:sz w:val="24"/>
          <w:szCs w:val="24"/>
        </w:rPr>
        <w:t>RAC, 2010) are shown in Figure 3</w:t>
      </w:r>
      <w:r>
        <w:rPr>
          <w:sz w:val="24"/>
          <w:szCs w:val="24"/>
        </w:rPr>
        <w:t>.</w:t>
      </w:r>
    </w:p>
    <w:p w:rsidR="00095F70" w:rsidRDefault="00095F70" w:rsidP="00A84344">
      <w:pPr>
        <w:rPr>
          <w:b/>
          <w:sz w:val="24"/>
          <w:szCs w:val="24"/>
        </w:rPr>
      </w:pPr>
    </w:p>
    <w:p w:rsidR="00A1495E" w:rsidRPr="00A1495E" w:rsidRDefault="00A1495E" w:rsidP="00A84344">
      <w:pPr>
        <w:rPr>
          <w:b/>
          <w:sz w:val="24"/>
          <w:szCs w:val="24"/>
        </w:rPr>
      </w:pPr>
      <w:r w:rsidRPr="00A1495E">
        <w:rPr>
          <w:b/>
          <w:sz w:val="24"/>
          <w:szCs w:val="24"/>
        </w:rPr>
        <w:t>Reference</w:t>
      </w:r>
    </w:p>
    <w:p w:rsidR="00A1495E" w:rsidRPr="00A84344" w:rsidRDefault="00A1495E" w:rsidP="00A84344">
      <w:pPr>
        <w:rPr>
          <w:sz w:val="24"/>
          <w:szCs w:val="24"/>
        </w:rPr>
      </w:pPr>
      <w:r>
        <w:rPr>
          <w:sz w:val="24"/>
          <w:szCs w:val="24"/>
        </w:rPr>
        <w:t>OLRAC, 2010. Updated male somatic growth rate estimates for input into the OMP for West Coast rock lobster. MCM/2010/JUL/SWG/WCRL07.</w:t>
      </w:r>
    </w:p>
    <w:p w:rsidR="005333DE" w:rsidRDefault="005333DE">
      <w:pPr>
        <w:rPr>
          <w:sz w:val="24"/>
          <w:szCs w:val="24"/>
        </w:rPr>
      </w:pPr>
      <w:r>
        <w:rPr>
          <w:sz w:val="24"/>
          <w:szCs w:val="24"/>
        </w:rPr>
        <w:br w:type="page"/>
      </w:r>
    </w:p>
    <w:p w:rsidR="005333DE" w:rsidRDefault="005333DE">
      <w:pPr>
        <w:rPr>
          <w:sz w:val="24"/>
          <w:szCs w:val="24"/>
        </w:rPr>
      </w:pPr>
      <w:r>
        <w:rPr>
          <w:sz w:val="24"/>
          <w:szCs w:val="24"/>
        </w:rPr>
        <w:lastRenderedPageBreak/>
        <w:t>Figure 1</w:t>
      </w:r>
      <w:r w:rsidR="00A84344">
        <w:rPr>
          <w:sz w:val="24"/>
          <w:szCs w:val="24"/>
        </w:rPr>
        <w:t>a</w:t>
      </w:r>
      <w:r>
        <w:rPr>
          <w:sz w:val="24"/>
          <w:szCs w:val="24"/>
        </w:rPr>
        <w:t xml:space="preserve">: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75</m:t>
            </m:r>
          </m:sub>
        </m:sSub>
      </m:oMath>
      <w:r>
        <w:rPr>
          <w:rFonts w:eastAsiaTheme="minorEastAsia"/>
          <w:sz w:val="24"/>
          <w:szCs w:val="24"/>
        </w:rPr>
        <w:t xml:space="preserve"> trends as estimated by four previous assessments </w:t>
      </w:r>
      <w:r w:rsidR="00A1495E">
        <w:rPr>
          <w:rFonts w:eastAsiaTheme="minorEastAsia"/>
          <w:sz w:val="24"/>
          <w:szCs w:val="24"/>
        </w:rPr>
        <w:t xml:space="preserve">used to provide based case operating models for the OMP testing at the time </w:t>
      </w:r>
      <w:r>
        <w:rPr>
          <w:rFonts w:eastAsiaTheme="minorEastAsia"/>
          <w:sz w:val="24"/>
          <w:szCs w:val="24"/>
        </w:rPr>
        <w:t>(note the 1997-2003 biomass refers to male+female, the 2006 assessment refers to male only).</w:t>
      </w:r>
      <w:r w:rsidR="00C0588E">
        <w:rPr>
          <w:rFonts w:eastAsiaTheme="minorEastAsia"/>
          <w:sz w:val="24"/>
          <w:szCs w:val="24"/>
        </w:rPr>
        <w:t xml:space="preserve"> </w:t>
      </w:r>
      <w:r w:rsidRPr="005333DE">
        <w:rPr>
          <w:noProof/>
          <w:szCs w:val="24"/>
          <w:lang w:val="en-GB" w:eastAsia="en-GB"/>
        </w:rPr>
        <w:drawing>
          <wp:inline distT="0" distB="0" distL="0" distR="0">
            <wp:extent cx="5478780" cy="563245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78780" cy="5632450"/>
                    </a:xfrm>
                    <a:prstGeom prst="rect">
                      <a:avLst/>
                    </a:prstGeom>
                    <a:noFill/>
                    <a:ln w="9525">
                      <a:noFill/>
                      <a:miter lim="800000"/>
                      <a:headEnd/>
                      <a:tailEnd/>
                    </a:ln>
                  </pic:spPr>
                </pic:pic>
              </a:graphicData>
            </a:graphic>
          </wp:inline>
        </w:drawing>
      </w:r>
    </w:p>
    <w:p w:rsidR="005333DE" w:rsidRDefault="005333DE">
      <w:pPr>
        <w:rPr>
          <w:sz w:val="24"/>
          <w:szCs w:val="24"/>
        </w:rPr>
      </w:pPr>
      <w:r>
        <w:rPr>
          <w:sz w:val="24"/>
          <w:szCs w:val="24"/>
        </w:rPr>
        <w:br w:type="page"/>
      </w:r>
    </w:p>
    <w:p w:rsidR="009317EA" w:rsidRDefault="00A84344">
      <w:pPr>
        <w:rPr>
          <w:sz w:val="24"/>
          <w:szCs w:val="24"/>
        </w:rPr>
      </w:pPr>
      <w:r>
        <w:rPr>
          <w:sz w:val="24"/>
          <w:szCs w:val="24"/>
        </w:rPr>
        <w:lastRenderedPageBreak/>
        <w:t>Figure 1b</w:t>
      </w:r>
      <w:r w:rsidR="005333DE">
        <w:rPr>
          <w:sz w:val="24"/>
          <w:szCs w:val="24"/>
        </w:rPr>
        <w:t xml:space="preserve">: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75</m:t>
            </m:r>
          </m:sub>
        </m:sSub>
        <m:r>
          <w:rPr>
            <w:rFonts w:ascii="Cambria Math" w:hAnsi="Cambria Math"/>
            <w:sz w:val="24"/>
            <w:szCs w:val="24"/>
          </w:rPr>
          <m:t>/K</m:t>
        </m:r>
      </m:oMath>
      <w:r w:rsidR="005333DE">
        <w:rPr>
          <w:rFonts w:eastAsiaTheme="minorEastAsia"/>
          <w:sz w:val="24"/>
          <w:szCs w:val="24"/>
        </w:rPr>
        <w:t xml:space="preserve"> trends as estimated by four previous assessments </w:t>
      </w:r>
      <w:r w:rsidR="00C0588E">
        <w:rPr>
          <w:rFonts w:eastAsiaTheme="minorEastAsia"/>
          <w:sz w:val="24"/>
          <w:szCs w:val="24"/>
        </w:rPr>
        <w:t xml:space="preserve">used to provide based case operating models for the OMP testing at the time </w:t>
      </w:r>
      <w:r w:rsidR="005333DE">
        <w:rPr>
          <w:rFonts w:eastAsiaTheme="minorEastAsia"/>
          <w:sz w:val="24"/>
          <w:szCs w:val="24"/>
        </w:rPr>
        <w:t>(note the 1997-2003 biomass refers to male+female, the 2006 assessment refers to male only).</w:t>
      </w:r>
    </w:p>
    <w:p w:rsidR="005333DE" w:rsidRDefault="005333DE">
      <w:pPr>
        <w:rPr>
          <w:sz w:val="24"/>
          <w:szCs w:val="24"/>
        </w:rPr>
      </w:pPr>
      <w:r w:rsidRPr="005333DE">
        <w:rPr>
          <w:noProof/>
          <w:szCs w:val="24"/>
          <w:lang w:val="en-GB" w:eastAsia="en-GB"/>
        </w:rPr>
        <w:drawing>
          <wp:inline distT="0" distB="0" distL="0" distR="0">
            <wp:extent cx="5486400" cy="56178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486400" cy="5617845"/>
                    </a:xfrm>
                    <a:prstGeom prst="rect">
                      <a:avLst/>
                    </a:prstGeom>
                    <a:noFill/>
                    <a:ln w="9525">
                      <a:noFill/>
                      <a:miter lim="800000"/>
                      <a:headEnd/>
                      <a:tailEnd/>
                    </a:ln>
                  </pic:spPr>
                </pic:pic>
              </a:graphicData>
            </a:graphic>
          </wp:inline>
        </w:drawing>
      </w:r>
    </w:p>
    <w:p w:rsidR="006F2656" w:rsidRDefault="006F2656">
      <w:pPr>
        <w:rPr>
          <w:sz w:val="24"/>
          <w:szCs w:val="24"/>
        </w:rPr>
      </w:pPr>
      <w:r>
        <w:rPr>
          <w:sz w:val="24"/>
          <w:szCs w:val="24"/>
        </w:rPr>
        <w:br w:type="page"/>
      </w:r>
    </w:p>
    <w:p w:rsidR="006F2656" w:rsidRDefault="006F2656">
      <w:pPr>
        <w:rPr>
          <w:sz w:val="24"/>
          <w:szCs w:val="24"/>
        </w:rPr>
      </w:pPr>
      <w:r>
        <w:rPr>
          <w:sz w:val="24"/>
          <w:szCs w:val="24"/>
        </w:rPr>
        <w:lastRenderedPageBreak/>
        <w:t xml:space="preserve">Figure 1c: The 2006 assessment estimates of combined super-area </w:t>
      </w:r>
      <m:oMath>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75</m:t>
            </m:r>
          </m:sup>
        </m:sSup>
      </m:oMath>
      <w:r w:rsidR="00B906A4">
        <w:rPr>
          <w:sz w:val="24"/>
          <w:szCs w:val="24"/>
        </w:rPr>
        <w:t xml:space="preserve">(male+female) versus the </w:t>
      </w:r>
      <m:oMath>
        <m:sSubSup>
          <m:sSubSupPr>
            <m:ctrlPr>
              <w:rPr>
                <w:rFonts w:ascii="Cambria Math" w:hAnsi="Cambria Math"/>
                <w:i/>
                <w:sz w:val="24"/>
                <w:szCs w:val="24"/>
              </w:rPr>
            </m:ctrlPr>
          </m:sSubSupPr>
          <m:e>
            <m:r>
              <w:rPr>
                <w:rFonts w:ascii="Cambria Math" w:hAnsi="Cambria Math"/>
                <w:sz w:val="24"/>
                <w:szCs w:val="24"/>
              </w:rPr>
              <m:t>B</m:t>
            </m:r>
          </m:e>
          <m:sub>
            <m:r>
              <w:rPr>
                <w:rFonts w:ascii="Cambria Math" w:hAnsi="Cambria Math"/>
                <w:sz w:val="24"/>
                <w:szCs w:val="24"/>
              </w:rPr>
              <m:t>75</m:t>
            </m:r>
          </m:sub>
          <m:sup>
            <m:r>
              <w:rPr>
                <w:rFonts w:ascii="Cambria Math" w:hAnsi="Cambria Math"/>
                <w:sz w:val="24"/>
                <w:szCs w:val="24"/>
              </w:rPr>
              <m:t>m</m:t>
            </m:r>
          </m:sup>
        </m:sSubSup>
      </m:oMath>
      <w:r>
        <w:rPr>
          <w:sz w:val="24"/>
          <w:szCs w:val="24"/>
        </w:rPr>
        <w:t>(male only).</w:t>
      </w:r>
    </w:p>
    <w:p w:rsidR="006F2656" w:rsidRDefault="006F2656">
      <w:pPr>
        <w:rPr>
          <w:sz w:val="24"/>
          <w:szCs w:val="24"/>
        </w:rPr>
      </w:pPr>
      <w:r w:rsidRPr="006F2656">
        <w:rPr>
          <w:noProof/>
          <w:szCs w:val="24"/>
          <w:lang w:val="en-GB" w:eastAsia="en-GB"/>
        </w:rPr>
        <w:drawing>
          <wp:inline distT="0" distB="0" distL="0" distR="0">
            <wp:extent cx="5340350" cy="2765425"/>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340350" cy="2765425"/>
                    </a:xfrm>
                    <a:prstGeom prst="rect">
                      <a:avLst/>
                    </a:prstGeom>
                    <a:noFill/>
                    <a:ln w="9525">
                      <a:noFill/>
                      <a:miter lim="800000"/>
                      <a:headEnd/>
                      <a:tailEnd/>
                    </a:ln>
                  </pic:spPr>
                </pic:pic>
              </a:graphicData>
            </a:graphic>
          </wp:inline>
        </w:drawing>
      </w:r>
    </w:p>
    <w:p w:rsidR="006F2656" w:rsidRDefault="006F2656">
      <w:pPr>
        <w:rPr>
          <w:sz w:val="24"/>
          <w:szCs w:val="24"/>
        </w:rPr>
      </w:pPr>
    </w:p>
    <w:p w:rsidR="009317EA" w:rsidRDefault="009317EA">
      <w:pPr>
        <w:rPr>
          <w:sz w:val="24"/>
          <w:szCs w:val="24"/>
        </w:rPr>
      </w:pPr>
      <w:r>
        <w:rPr>
          <w:sz w:val="24"/>
          <w:szCs w:val="24"/>
        </w:rPr>
        <w:br w:type="page"/>
      </w:r>
    </w:p>
    <w:p w:rsidR="009317EA" w:rsidRDefault="009317EA">
      <w:pPr>
        <w:rPr>
          <w:sz w:val="24"/>
          <w:szCs w:val="24"/>
        </w:rPr>
      </w:pPr>
      <w:r>
        <w:rPr>
          <w:sz w:val="24"/>
          <w:szCs w:val="24"/>
        </w:rPr>
        <w:lastRenderedPageBreak/>
        <w:t>Figure 2a: The Commercial TAC projections for the current OMP 2007 (the median shown as a grey line with circles, the white shading shows the 50%-iles, the dark grey shading shows the 75%-iles and the light grey shading shows the 95%-iles). The black squares show t</w:t>
      </w:r>
      <w:r w:rsidR="00B906A4">
        <w:rPr>
          <w:sz w:val="24"/>
          <w:szCs w:val="24"/>
        </w:rPr>
        <w:t>he subsequent actual TAC values that eventuated from application of OMP 2007.</w:t>
      </w:r>
    </w:p>
    <w:p w:rsidR="009317EA" w:rsidRDefault="009317EA">
      <w:pPr>
        <w:rPr>
          <w:sz w:val="24"/>
          <w:szCs w:val="24"/>
        </w:rPr>
      </w:pPr>
      <w:r w:rsidRPr="009317EA">
        <w:rPr>
          <w:noProof/>
          <w:szCs w:val="24"/>
          <w:lang w:val="en-GB" w:eastAsia="en-GB"/>
        </w:rPr>
        <w:drawing>
          <wp:inline distT="0" distB="0" distL="0" distR="0">
            <wp:extent cx="4667250" cy="239204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667250" cy="2392045"/>
                    </a:xfrm>
                    <a:prstGeom prst="rect">
                      <a:avLst/>
                    </a:prstGeom>
                    <a:noFill/>
                    <a:ln w="9525">
                      <a:noFill/>
                      <a:miter lim="800000"/>
                      <a:headEnd/>
                      <a:tailEnd/>
                    </a:ln>
                  </pic:spPr>
                </pic:pic>
              </a:graphicData>
            </a:graphic>
          </wp:inline>
        </w:drawing>
      </w:r>
    </w:p>
    <w:p w:rsidR="009317EA" w:rsidRDefault="009317EA">
      <w:pPr>
        <w:rPr>
          <w:sz w:val="24"/>
          <w:szCs w:val="24"/>
        </w:rPr>
      </w:pPr>
    </w:p>
    <w:p w:rsidR="009317EA" w:rsidRDefault="00B906A4" w:rsidP="009317EA">
      <w:pPr>
        <w:rPr>
          <w:sz w:val="24"/>
          <w:szCs w:val="24"/>
        </w:rPr>
      </w:pPr>
      <w:r>
        <w:rPr>
          <w:sz w:val="24"/>
          <w:szCs w:val="24"/>
        </w:rPr>
        <w:t xml:space="preserve">Figure 2b: The </w:t>
      </w:r>
      <m:oMath>
        <m:sSubSup>
          <m:sSubSupPr>
            <m:ctrlPr>
              <w:rPr>
                <w:rFonts w:ascii="Cambria Math" w:hAnsi="Cambria Math"/>
                <w:i/>
                <w:sz w:val="24"/>
                <w:szCs w:val="24"/>
              </w:rPr>
            </m:ctrlPr>
          </m:sSubSupPr>
          <m:e>
            <m:r>
              <w:rPr>
                <w:rFonts w:ascii="Cambria Math" w:hAnsi="Cambria Math"/>
                <w:sz w:val="24"/>
                <w:szCs w:val="24"/>
              </w:rPr>
              <m:t>B</m:t>
            </m:r>
          </m:e>
          <m:sub>
            <m:r>
              <w:rPr>
                <w:rFonts w:ascii="Cambria Math" w:hAnsi="Cambria Math"/>
                <w:sz w:val="24"/>
                <w:szCs w:val="24"/>
              </w:rPr>
              <m:t>75</m:t>
            </m:r>
          </m:sub>
          <m:sup>
            <m:r>
              <w:rPr>
                <w:rFonts w:ascii="Cambria Math" w:hAnsi="Cambria Math"/>
                <w:sz w:val="24"/>
                <w:szCs w:val="24"/>
              </w:rPr>
              <m:t>m</m:t>
            </m:r>
          </m:sup>
        </m:sSubSup>
      </m:oMath>
      <w:r w:rsidR="009317EA">
        <w:rPr>
          <w:sz w:val="24"/>
          <w:szCs w:val="24"/>
        </w:rPr>
        <w:t xml:space="preserve"> projections for the current OMP 2007 (</w:t>
      </w:r>
      <w:r w:rsidR="00412D41">
        <w:rPr>
          <w:sz w:val="24"/>
          <w:szCs w:val="24"/>
        </w:rPr>
        <w:t>shown as thin black line with vertical lines showing the 95% probability envelopes</w:t>
      </w:r>
      <w:r w:rsidR="009317EA">
        <w:rPr>
          <w:sz w:val="24"/>
          <w:szCs w:val="24"/>
        </w:rPr>
        <w:t>). The black squares show the new updated</w:t>
      </w:r>
      <w:r w:rsidR="00412D41">
        <w:rPr>
          <w:sz w:val="24"/>
          <w:szCs w:val="24"/>
        </w:rPr>
        <w:t xml:space="preserve"> 2010</w:t>
      </w:r>
      <w:r w:rsidR="009317EA">
        <w:rPr>
          <w:sz w:val="24"/>
          <w:szCs w:val="24"/>
        </w:rPr>
        <w:t xml:space="preserve"> operating model </w:t>
      </w:r>
      <w:r w:rsidR="00623D7E">
        <w:rPr>
          <w:sz w:val="24"/>
          <w:szCs w:val="24"/>
        </w:rPr>
        <w:t xml:space="preserve">(original variant) </w:t>
      </w:r>
      <w:r w:rsidR="009317EA">
        <w:rPr>
          <w:sz w:val="24"/>
          <w:szCs w:val="24"/>
        </w:rPr>
        <w:t>values</w:t>
      </w:r>
      <w:r w:rsidR="00412D41">
        <w:rPr>
          <w:sz w:val="24"/>
          <w:szCs w:val="24"/>
        </w:rPr>
        <w:t xml:space="preserve"> summed over the five super-areas</w:t>
      </w:r>
      <w:r w:rsidR="009317EA">
        <w:rPr>
          <w:sz w:val="24"/>
          <w:szCs w:val="24"/>
        </w:rPr>
        <w:t>.</w:t>
      </w:r>
      <w:r w:rsidR="00412D41">
        <w:rPr>
          <w:sz w:val="24"/>
          <w:szCs w:val="24"/>
        </w:rPr>
        <w:t xml:space="preserve"> </w:t>
      </w:r>
    </w:p>
    <w:p w:rsidR="009317EA" w:rsidRDefault="00623D7E">
      <w:pPr>
        <w:rPr>
          <w:sz w:val="24"/>
          <w:szCs w:val="24"/>
        </w:rPr>
      </w:pPr>
      <w:r w:rsidRPr="00623D7E">
        <w:rPr>
          <w:noProof/>
          <w:szCs w:val="24"/>
          <w:lang w:val="en-GB" w:eastAsia="en-GB"/>
        </w:rPr>
        <w:drawing>
          <wp:inline distT="0" distB="0" distL="0" distR="0">
            <wp:extent cx="4520565" cy="246507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520565" cy="2465070"/>
                    </a:xfrm>
                    <a:prstGeom prst="rect">
                      <a:avLst/>
                    </a:prstGeom>
                    <a:noFill/>
                    <a:ln w="9525">
                      <a:noFill/>
                      <a:miter lim="800000"/>
                      <a:headEnd/>
                      <a:tailEnd/>
                    </a:ln>
                  </pic:spPr>
                </pic:pic>
              </a:graphicData>
            </a:graphic>
          </wp:inline>
        </w:drawing>
      </w:r>
    </w:p>
    <w:p w:rsidR="00A1495E" w:rsidRDefault="00A1495E">
      <w:pPr>
        <w:rPr>
          <w:sz w:val="24"/>
          <w:szCs w:val="24"/>
        </w:rPr>
      </w:pPr>
      <w:r>
        <w:rPr>
          <w:sz w:val="24"/>
          <w:szCs w:val="24"/>
        </w:rPr>
        <w:br w:type="page"/>
      </w:r>
    </w:p>
    <w:p w:rsidR="00A1495E" w:rsidRDefault="00095F70">
      <w:pPr>
        <w:rPr>
          <w:sz w:val="24"/>
          <w:szCs w:val="24"/>
        </w:rPr>
      </w:pPr>
      <w:r>
        <w:rPr>
          <w:sz w:val="24"/>
          <w:szCs w:val="24"/>
        </w:rPr>
        <w:lastRenderedPageBreak/>
        <w:t>Figure 3</w:t>
      </w:r>
      <w:r w:rsidR="001140D0">
        <w:rPr>
          <w:sz w:val="24"/>
          <w:szCs w:val="24"/>
        </w:rPr>
        <w:t>a</w:t>
      </w:r>
      <w:r w:rsidR="00A1495E">
        <w:rPr>
          <w:sz w:val="24"/>
          <w:szCs w:val="24"/>
        </w:rPr>
        <w:t xml:space="preserve">: </w:t>
      </w:r>
      <w:r w:rsidR="00C0588E">
        <w:rPr>
          <w:sz w:val="24"/>
          <w:szCs w:val="24"/>
        </w:rPr>
        <w:t>Annual average somatic growth rate values for a 70mm CL male lobster (OLRAC, 2010).</w:t>
      </w:r>
    </w:p>
    <w:p w:rsidR="00C0588E" w:rsidRDefault="00326FA1">
      <w:pPr>
        <w:rPr>
          <w:sz w:val="24"/>
          <w:szCs w:val="24"/>
        </w:rPr>
      </w:pPr>
      <w:r w:rsidRPr="00326FA1">
        <w:rPr>
          <w:noProof/>
          <w:szCs w:val="24"/>
          <w:lang w:val="en-GB" w:eastAsia="en-GB"/>
        </w:rPr>
        <w:drawing>
          <wp:inline distT="0" distB="0" distL="0" distR="0">
            <wp:extent cx="3961944" cy="7512711"/>
            <wp:effectExtent l="19050" t="0" r="456"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961978" cy="7512776"/>
                    </a:xfrm>
                    <a:prstGeom prst="rect">
                      <a:avLst/>
                    </a:prstGeom>
                    <a:noFill/>
                    <a:ln w="9525">
                      <a:noFill/>
                      <a:miter lim="800000"/>
                      <a:headEnd/>
                      <a:tailEnd/>
                    </a:ln>
                  </pic:spPr>
                </pic:pic>
              </a:graphicData>
            </a:graphic>
          </wp:inline>
        </w:drawing>
      </w:r>
    </w:p>
    <w:p w:rsidR="001140D0" w:rsidRDefault="001140D0" w:rsidP="001140D0">
      <w:pPr>
        <w:rPr>
          <w:sz w:val="24"/>
          <w:szCs w:val="24"/>
        </w:rPr>
      </w:pPr>
      <w:r>
        <w:rPr>
          <w:sz w:val="24"/>
          <w:szCs w:val="24"/>
        </w:rPr>
        <w:lastRenderedPageBreak/>
        <w:t xml:space="preserve">Figure </w:t>
      </w:r>
      <w:r w:rsidR="00095F70">
        <w:rPr>
          <w:sz w:val="24"/>
          <w:szCs w:val="24"/>
        </w:rPr>
        <w:t>3</w:t>
      </w:r>
      <w:r>
        <w:rPr>
          <w:sz w:val="24"/>
          <w:szCs w:val="24"/>
        </w:rPr>
        <w:t>b:</w:t>
      </w:r>
      <w:r w:rsidRPr="001140D0">
        <w:rPr>
          <w:sz w:val="24"/>
          <w:szCs w:val="24"/>
        </w:rPr>
        <w:t xml:space="preserve"> </w:t>
      </w:r>
      <w:r>
        <w:rPr>
          <w:sz w:val="24"/>
          <w:szCs w:val="24"/>
        </w:rPr>
        <w:t>Annual average somatic growth rate values for a 70mm CL male averaged over 5-year periods.</w:t>
      </w:r>
    </w:p>
    <w:p w:rsidR="001140D0" w:rsidRDefault="001140D0">
      <w:pPr>
        <w:rPr>
          <w:sz w:val="24"/>
          <w:szCs w:val="24"/>
        </w:rPr>
      </w:pPr>
    </w:p>
    <w:p w:rsidR="001140D0" w:rsidRPr="00DA3B0B" w:rsidRDefault="001140D0">
      <w:pPr>
        <w:rPr>
          <w:sz w:val="24"/>
          <w:szCs w:val="24"/>
        </w:rPr>
      </w:pPr>
      <w:r w:rsidRPr="001140D0">
        <w:rPr>
          <w:noProof/>
          <w:szCs w:val="24"/>
          <w:lang w:val="en-GB" w:eastAsia="en-GB"/>
        </w:rPr>
        <w:drawing>
          <wp:inline distT="0" distB="0" distL="0" distR="0">
            <wp:extent cx="3609289" cy="7234731"/>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3609356" cy="7234866"/>
                    </a:xfrm>
                    <a:prstGeom prst="rect">
                      <a:avLst/>
                    </a:prstGeom>
                    <a:noFill/>
                    <a:ln w="9525">
                      <a:noFill/>
                      <a:miter lim="800000"/>
                      <a:headEnd/>
                      <a:tailEnd/>
                    </a:ln>
                  </pic:spPr>
                </pic:pic>
              </a:graphicData>
            </a:graphic>
          </wp:inline>
        </w:drawing>
      </w:r>
    </w:p>
    <w:sectPr w:rsidR="001140D0" w:rsidRPr="00DA3B0B" w:rsidSect="00C8607C">
      <w:headerReference w:type="default"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A0C" w:rsidRDefault="00152A0C" w:rsidP="00DA3B0B">
      <w:pPr>
        <w:spacing w:after="0" w:line="240" w:lineRule="auto"/>
      </w:pPr>
      <w:r>
        <w:separator/>
      </w:r>
    </w:p>
  </w:endnote>
  <w:endnote w:type="continuationSeparator" w:id="1">
    <w:p w:rsidR="00152A0C" w:rsidRDefault="00152A0C" w:rsidP="00DA3B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088065"/>
      <w:docPartObj>
        <w:docPartGallery w:val="Page Numbers (Bottom of Page)"/>
        <w:docPartUnique/>
      </w:docPartObj>
    </w:sdtPr>
    <w:sdtContent>
      <w:p w:rsidR="00EC7FA8" w:rsidRDefault="002609A1">
        <w:pPr>
          <w:pStyle w:val="Footer"/>
          <w:jc w:val="center"/>
        </w:pPr>
        <w:fldSimple w:instr=" PAGE   \* MERGEFORMAT ">
          <w:r w:rsidR="002D07CB">
            <w:rPr>
              <w:noProof/>
            </w:rPr>
            <w:t>1</w:t>
          </w:r>
        </w:fldSimple>
      </w:p>
    </w:sdtContent>
  </w:sdt>
  <w:p w:rsidR="00EC7FA8" w:rsidRDefault="00EC7F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A0C" w:rsidRDefault="00152A0C" w:rsidP="00DA3B0B">
      <w:pPr>
        <w:spacing w:after="0" w:line="240" w:lineRule="auto"/>
      </w:pPr>
      <w:r>
        <w:separator/>
      </w:r>
    </w:p>
  </w:footnote>
  <w:footnote w:type="continuationSeparator" w:id="1">
    <w:p w:rsidR="00152A0C" w:rsidRDefault="00152A0C" w:rsidP="00DA3B0B">
      <w:pPr>
        <w:spacing w:after="0" w:line="240" w:lineRule="auto"/>
      </w:pPr>
      <w:r>
        <w:continuationSeparator/>
      </w:r>
    </w:p>
  </w:footnote>
  <w:footnote w:id="2">
    <w:p w:rsidR="00EC7FA8" w:rsidRPr="00D92C46" w:rsidRDefault="00EC7FA8">
      <w:pPr>
        <w:pStyle w:val="FootnoteText"/>
        <w:rPr>
          <w:lang w:val="en-ZA"/>
        </w:rPr>
      </w:pPr>
      <w:r>
        <w:rPr>
          <w:rStyle w:val="FootnoteReference"/>
        </w:rPr>
        <w:footnoteRef/>
      </w:r>
      <w:r>
        <w:t xml:space="preserve"> </w:t>
      </w:r>
      <w:r>
        <w:rPr>
          <w:lang w:val="en-ZA"/>
        </w:rPr>
        <w:t>SFAC was the Sea Fisheries Advisory Council which at that time was the body which advised the responsible Minister.</w:t>
      </w:r>
    </w:p>
  </w:footnote>
  <w:footnote w:id="3">
    <w:p w:rsidR="00EC7FA8" w:rsidRPr="00D92C46" w:rsidRDefault="00EC7FA8">
      <w:pPr>
        <w:pStyle w:val="FootnoteText"/>
        <w:rPr>
          <w:lang w:val="en-ZA"/>
        </w:rPr>
      </w:pPr>
      <w:r>
        <w:rPr>
          <w:rStyle w:val="FootnoteReference"/>
        </w:rPr>
        <w:footnoteRef/>
      </w:r>
      <w:r>
        <w:t xml:space="preserve"> </w:t>
      </w:r>
      <w:r>
        <w:rPr>
          <w:lang w:val="en-ZA"/>
        </w:rPr>
        <w:t>CAF is the Consultative Advisory Forum, an advisory body which effectively replaced the SFAC when the current Marine Living Resources Act was introduced. This body has however been dormant for almost the last decade.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FA8" w:rsidRDefault="002D07CB" w:rsidP="00DA3B0B">
    <w:pPr>
      <w:pStyle w:val="Header"/>
      <w:jc w:val="right"/>
    </w:pPr>
    <w:r>
      <w:t xml:space="preserve">MARAM </w:t>
    </w:r>
    <w:r w:rsidR="00EC7FA8">
      <w:t>IWS/DEC10/WCRLB/P3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9CF"/>
    <w:multiLevelType w:val="hybridMultilevel"/>
    <w:tmpl w:val="E4E02C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6F132F"/>
    <w:multiLevelType w:val="hybridMultilevel"/>
    <w:tmpl w:val="6C2AE65C"/>
    <w:lvl w:ilvl="0" w:tplc="0409000B">
      <w:start w:val="1"/>
      <w:numFmt w:val="bullet"/>
      <w:lvlText w:val=""/>
      <w:lvlJc w:val="left"/>
      <w:pPr>
        <w:ind w:left="1492" w:hanging="360"/>
      </w:pPr>
      <w:rPr>
        <w:rFonts w:ascii="Wingdings" w:hAnsi="Wingdings"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E23452"/>
    <w:multiLevelType w:val="hybridMultilevel"/>
    <w:tmpl w:val="BB2AB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105B5"/>
    <w:multiLevelType w:val="hybridMultilevel"/>
    <w:tmpl w:val="7A80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93613C"/>
    <w:multiLevelType w:val="hybridMultilevel"/>
    <w:tmpl w:val="0436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A50247"/>
    <w:multiLevelType w:val="hybridMultilevel"/>
    <w:tmpl w:val="0FA0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0D7CC0"/>
    <w:multiLevelType w:val="hybridMultilevel"/>
    <w:tmpl w:val="2CBA4C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88434A0"/>
    <w:multiLevelType w:val="hybridMultilevel"/>
    <w:tmpl w:val="1270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787D6E"/>
    <w:multiLevelType w:val="hybridMultilevel"/>
    <w:tmpl w:val="92B82F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03B0B1A"/>
    <w:multiLevelType w:val="hybridMultilevel"/>
    <w:tmpl w:val="346A4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44969CD"/>
    <w:multiLevelType w:val="hybridMultilevel"/>
    <w:tmpl w:val="C428C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954075"/>
    <w:multiLevelType w:val="hybridMultilevel"/>
    <w:tmpl w:val="0B5C2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1"/>
  </w:num>
  <w:num w:numId="4">
    <w:abstractNumId w:val="9"/>
  </w:num>
  <w:num w:numId="5">
    <w:abstractNumId w:val="4"/>
  </w:num>
  <w:num w:numId="6">
    <w:abstractNumId w:val="1"/>
  </w:num>
  <w:num w:numId="7">
    <w:abstractNumId w:val="7"/>
  </w:num>
  <w:num w:numId="8">
    <w:abstractNumId w:val="0"/>
  </w:num>
  <w:num w:numId="9">
    <w:abstractNumId w:val="3"/>
  </w:num>
  <w:num w:numId="10">
    <w:abstractNumId w:val="2"/>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DA3B0B"/>
    <w:rsid w:val="00046FC1"/>
    <w:rsid w:val="00095F70"/>
    <w:rsid w:val="000A0B9F"/>
    <w:rsid w:val="000B17E0"/>
    <w:rsid w:val="001140D0"/>
    <w:rsid w:val="001336A5"/>
    <w:rsid w:val="00152A0C"/>
    <w:rsid w:val="00185925"/>
    <w:rsid w:val="002609A1"/>
    <w:rsid w:val="002D07CB"/>
    <w:rsid w:val="002D1801"/>
    <w:rsid w:val="00301E3F"/>
    <w:rsid w:val="00326FA1"/>
    <w:rsid w:val="0037702C"/>
    <w:rsid w:val="003B022A"/>
    <w:rsid w:val="003B27C2"/>
    <w:rsid w:val="00402203"/>
    <w:rsid w:val="00412D41"/>
    <w:rsid w:val="00426740"/>
    <w:rsid w:val="00437120"/>
    <w:rsid w:val="0047688B"/>
    <w:rsid w:val="005333DE"/>
    <w:rsid w:val="005668C1"/>
    <w:rsid w:val="00590D0A"/>
    <w:rsid w:val="00611A26"/>
    <w:rsid w:val="00623D7E"/>
    <w:rsid w:val="006671D5"/>
    <w:rsid w:val="006F2656"/>
    <w:rsid w:val="006F6B98"/>
    <w:rsid w:val="00701552"/>
    <w:rsid w:val="00724FDE"/>
    <w:rsid w:val="007D33DF"/>
    <w:rsid w:val="00854D5F"/>
    <w:rsid w:val="00883679"/>
    <w:rsid w:val="0089087B"/>
    <w:rsid w:val="009317EA"/>
    <w:rsid w:val="00981934"/>
    <w:rsid w:val="00986842"/>
    <w:rsid w:val="009B61BC"/>
    <w:rsid w:val="009F1BDD"/>
    <w:rsid w:val="00A1495E"/>
    <w:rsid w:val="00A456B5"/>
    <w:rsid w:val="00A61A89"/>
    <w:rsid w:val="00A626AD"/>
    <w:rsid w:val="00A84344"/>
    <w:rsid w:val="00AE5CA9"/>
    <w:rsid w:val="00B01E58"/>
    <w:rsid w:val="00B906A4"/>
    <w:rsid w:val="00B96455"/>
    <w:rsid w:val="00C0588E"/>
    <w:rsid w:val="00C11A7A"/>
    <w:rsid w:val="00C857F7"/>
    <w:rsid w:val="00C8607C"/>
    <w:rsid w:val="00CB0AA7"/>
    <w:rsid w:val="00D74C11"/>
    <w:rsid w:val="00D92C46"/>
    <w:rsid w:val="00DA3B0B"/>
    <w:rsid w:val="00DF0316"/>
    <w:rsid w:val="00E63B32"/>
    <w:rsid w:val="00EC7FA8"/>
    <w:rsid w:val="00F03C21"/>
    <w:rsid w:val="00F32BB9"/>
    <w:rsid w:val="00F5759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0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3B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3B0B"/>
  </w:style>
  <w:style w:type="paragraph" w:styleId="Footer">
    <w:name w:val="footer"/>
    <w:basedOn w:val="Normal"/>
    <w:link w:val="FooterChar"/>
    <w:uiPriority w:val="99"/>
    <w:unhideWhenUsed/>
    <w:rsid w:val="00DA3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B0B"/>
  </w:style>
  <w:style w:type="paragraph" w:styleId="ListParagraph">
    <w:name w:val="List Paragraph"/>
    <w:basedOn w:val="Normal"/>
    <w:uiPriority w:val="34"/>
    <w:qFormat/>
    <w:rsid w:val="00DA3B0B"/>
    <w:pPr>
      <w:ind w:left="720"/>
      <w:contextualSpacing/>
    </w:pPr>
  </w:style>
  <w:style w:type="character" w:styleId="PlaceholderText">
    <w:name w:val="Placeholder Text"/>
    <w:basedOn w:val="DefaultParagraphFont"/>
    <w:uiPriority w:val="99"/>
    <w:semiHidden/>
    <w:rsid w:val="00DA3B0B"/>
    <w:rPr>
      <w:color w:val="808080"/>
    </w:rPr>
  </w:style>
  <w:style w:type="paragraph" w:styleId="BalloonText">
    <w:name w:val="Balloon Text"/>
    <w:basedOn w:val="Normal"/>
    <w:link w:val="BalloonTextChar"/>
    <w:uiPriority w:val="99"/>
    <w:semiHidden/>
    <w:unhideWhenUsed/>
    <w:rsid w:val="00DA3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B0B"/>
    <w:rPr>
      <w:rFonts w:ascii="Tahoma" w:hAnsi="Tahoma" w:cs="Tahoma"/>
      <w:sz w:val="16"/>
      <w:szCs w:val="16"/>
    </w:rPr>
  </w:style>
  <w:style w:type="paragraph" w:styleId="FootnoteText">
    <w:name w:val="footnote text"/>
    <w:basedOn w:val="Normal"/>
    <w:link w:val="FootnoteTextChar"/>
    <w:uiPriority w:val="99"/>
    <w:semiHidden/>
    <w:unhideWhenUsed/>
    <w:rsid w:val="00D92C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2C46"/>
    <w:rPr>
      <w:sz w:val="20"/>
      <w:szCs w:val="20"/>
    </w:rPr>
  </w:style>
  <w:style w:type="character" w:styleId="FootnoteReference">
    <w:name w:val="footnote reference"/>
    <w:basedOn w:val="DefaultParagraphFont"/>
    <w:uiPriority w:val="99"/>
    <w:semiHidden/>
    <w:unhideWhenUsed/>
    <w:rsid w:val="00D92C4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85165-5CB9-4FF1-84B9-E43C83E0F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10</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WWB</Company>
  <LinksUpToDate>false</LinksUpToDate>
  <CharactersWithSpaces>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 </cp:lastModifiedBy>
  <cp:revision>10</cp:revision>
  <cp:lastPrinted>2010-11-22T08:09:00Z</cp:lastPrinted>
  <dcterms:created xsi:type="dcterms:W3CDTF">2010-11-22T06:51:00Z</dcterms:created>
  <dcterms:modified xsi:type="dcterms:W3CDTF">2010-11-25T09:24:00Z</dcterms:modified>
</cp:coreProperties>
</file>